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86" w:rsidRDefault="00373786">
      <w:pPr>
        <w:widowControl w:val="0"/>
        <w:pBdr>
          <w:top w:val="nil"/>
          <w:left w:val="nil"/>
          <w:bottom w:val="nil"/>
          <w:right w:val="nil"/>
          <w:between w:val="nil"/>
        </w:pBdr>
        <w:spacing w:after="0"/>
        <w:rPr>
          <w:rFonts w:ascii="Arial" w:eastAsia="Arial" w:hAnsi="Arial" w:cs="Arial"/>
          <w:color w:val="000000"/>
        </w:rPr>
      </w:pPr>
    </w:p>
    <w:tbl>
      <w:tblPr>
        <w:tblStyle w:val="a"/>
        <w:tblW w:w="11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3"/>
        <w:gridCol w:w="3523"/>
        <w:gridCol w:w="3820"/>
      </w:tblGrid>
      <w:tr w:rsidR="00373786">
        <w:tc>
          <w:tcPr>
            <w:tcW w:w="11016" w:type="dxa"/>
            <w:gridSpan w:val="3"/>
            <w:tcBorders>
              <w:bottom w:val="nil"/>
            </w:tcBorders>
            <w:shd w:val="clear" w:color="auto" w:fill="000000"/>
          </w:tcPr>
          <w:p w:rsidR="00373786" w:rsidRDefault="00B67A87">
            <w:pPr>
              <w:spacing w:after="0" w:line="240" w:lineRule="auto"/>
              <w:jc w:val="center"/>
              <w:rPr>
                <w:sz w:val="28"/>
                <w:szCs w:val="28"/>
              </w:rPr>
            </w:pPr>
            <w:r>
              <w:rPr>
                <w:sz w:val="28"/>
                <w:szCs w:val="28"/>
              </w:rPr>
              <w:t xml:space="preserve">Mathématique, </w:t>
            </w:r>
            <w:r w:rsidRPr="00B67A87">
              <w:rPr>
                <w:b/>
                <w:sz w:val="28"/>
                <w:szCs w:val="28"/>
              </w:rPr>
              <w:t>3</w:t>
            </w:r>
            <w:r w:rsidRPr="00B67A87">
              <w:rPr>
                <w:b/>
                <w:sz w:val="28"/>
                <w:szCs w:val="28"/>
                <w:vertAlign w:val="superscript"/>
              </w:rPr>
              <w:t>e</w:t>
            </w:r>
            <w:r>
              <w:rPr>
                <w:sz w:val="28"/>
                <w:szCs w:val="28"/>
              </w:rPr>
              <w:t xml:space="preserve">  </w:t>
            </w:r>
            <w:proofErr w:type="gramStart"/>
            <w:r>
              <w:rPr>
                <w:sz w:val="28"/>
                <w:szCs w:val="28"/>
              </w:rPr>
              <w:t>secondaire ,</w:t>
            </w:r>
            <w:proofErr w:type="gramEnd"/>
            <w:r>
              <w:rPr>
                <w:sz w:val="28"/>
                <w:szCs w:val="28"/>
              </w:rPr>
              <w:t xml:space="preserve"> 063306</w:t>
            </w:r>
          </w:p>
          <w:p w:rsidR="00373786" w:rsidRDefault="00282188">
            <w:pPr>
              <w:spacing w:after="0" w:line="240" w:lineRule="auto"/>
              <w:jc w:val="center"/>
              <w:rPr>
                <w:color w:val="FFFFFF"/>
                <w:sz w:val="28"/>
                <w:szCs w:val="28"/>
              </w:rPr>
            </w:pPr>
            <w:r>
              <w:rPr>
                <w:color w:val="FFFFFF"/>
                <w:sz w:val="28"/>
                <w:szCs w:val="28"/>
              </w:rPr>
              <w:t xml:space="preserve">Enseignants: </w:t>
            </w:r>
            <w:proofErr w:type="spellStart"/>
            <w:r w:rsidR="00A61A8B">
              <w:rPr>
                <w:color w:val="FFFFFF"/>
                <w:sz w:val="28"/>
                <w:szCs w:val="28"/>
              </w:rPr>
              <w:t>M.Habel</w:t>
            </w:r>
            <w:proofErr w:type="spellEnd"/>
            <w:r w:rsidR="00A61A8B">
              <w:rPr>
                <w:color w:val="FFFFFF"/>
                <w:sz w:val="28"/>
                <w:szCs w:val="28"/>
              </w:rPr>
              <w:t xml:space="preserve">, </w:t>
            </w:r>
            <w:proofErr w:type="spellStart"/>
            <w:r w:rsidR="00A61A8B">
              <w:rPr>
                <w:color w:val="FFFFFF"/>
                <w:sz w:val="28"/>
                <w:szCs w:val="28"/>
              </w:rPr>
              <w:t>N.Kabbara</w:t>
            </w:r>
            <w:proofErr w:type="spellEnd"/>
            <w:r w:rsidR="00A61A8B">
              <w:rPr>
                <w:color w:val="FFFFFF"/>
                <w:sz w:val="28"/>
                <w:szCs w:val="28"/>
              </w:rPr>
              <w:t xml:space="preserve">, </w:t>
            </w:r>
            <w:proofErr w:type="spellStart"/>
            <w:r w:rsidR="00A61A8B">
              <w:rPr>
                <w:color w:val="FFFFFF"/>
                <w:sz w:val="28"/>
                <w:szCs w:val="28"/>
              </w:rPr>
              <w:t>Je</w:t>
            </w:r>
            <w:r w:rsidR="005E463D">
              <w:rPr>
                <w:color w:val="FFFFFF"/>
                <w:sz w:val="28"/>
                <w:szCs w:val="28"/>
              </w:rPr>
              <w:t>an-Philipe</w:t>
            </w:r>
            <w:proofErr w:type="spellEnd"/>
            <w:r w:rsidR="005E463D">
              <w:rPr>
                <w:color w:val="FFFFFF"/>
                <w:sz w:val="28"/>
                <w:szCs w:val="28"/>
              </w:rPr>
              <w:t xml:space="preserve"> Déry</w:t>
            </w:r>
            <w:r w:rsidR="001A5D93">
              <w:rPr>
                <w:color w:val="FFFFFF"/>
                <w:sz w:val="28"/>
                <w:szCs w:val="28"/>
              </w:rPr>
              <w:t xml:space="preserve">, </w:t>
            </w:r>
            <w:proofErr w:type="spellStart"/>
            <w:r w:rsidR="001A5D93">
              <w:rPr>
                <w:color w:val="FFFFFF"/>
                <w:sz w:val="28"/>
                <w:szCs w:val="28"/>
              </w:rPr>
              <w:t>Wafae</w:t>
            </w:r>
            <w:proofErr w:type="spellEnd"/>
            <w:r w:rsidR="001A5D93">
              <w:rPr>
                <w:color w:val="FFFFFF"/>
                <w:sz w:val="28"/>
                <w:szCs w:val="28"/>
              </w:rPr>
              <w:t xml:space="preserve"> </w:t>
            </w:r>
            <w:proofErr w:type="spellStart"/>
            <w:r w:rsidR="001A5D93">
              <w:rPr>
                <w:color w:val="FFFFFF"/>
                <w:sz w:val="28"/>
                <w:szCs w:val="28"/>
              </w:rPr>
              <w:t>Amraoui</w:t>
            </w:r>
            <w:proofErr w:type="spellEnd"/>
            <w:r w:rsidR="001A5D93">
              <w:rPr>
                <w:color w:val="FFFFFF"/>
                <w:sz w:val="28"/>
                <w:szCs w:val="28"/>
              </w:rPr>
              <w:t xml:space="preserve">, Joseph </w:t>
            </w:r>
            <w:proofErr w:type="spellStart"/>
            <w:r w:rsidR="001A5D93">
              <w:rPr>
                <w:color w:val="FFFFFF"/>
                <w:sz w:val="28"/>
                <w:szCs w:val="28"/>
              </w:rPr>
              <w:t>Mikamlong</w:t>
            </w:r>
            <w:proofErr w:type="spellEnd"/>
            <w:r w:rsidR="001A5D93">
              <w:rPr>
                <w:color w:val="FFFFFF"/>
                <w:sz w:val="28"/>
                <w:szCs w:val="28"/>
              </w:rPr>
              <w:t>, Florence.</w:t>
            </w:r>
            <w:bookmarkStart w:id="0" w:name="_GoBack"/>
            <w:bookmarkEnd w:id="0"/>
          </w:p>
          <w:p w:rsidR="00373786" w:rsidRDefault="00B67A87" w:rsidP="00A61A8B">
            <w:pPr>
              <w:spacing w:after="0" w:line="240" w:lineRule="auto"/>
              <w:jc w:val="center"/>
              <w:rPr>
                <w:color w:val="FFFFFF"/>
                <w:sz w:val="28"/>
                <w:szCs w:val="28"/>
              </w:rPr>
            </w:pPr>
            <w:r>
              <w:rPr>
                <w:color w:val="FFFFFF"/>
                <w:sz w:val="28"/>
                <w:szCs w:val="28"/>
              </w:rPr>
              <w:t>(</w:t>
            </w:r>
            <w:r w:rsidR="005E463D">
              <w:rPr>
                <w:rFonts w:ascii="Arial Black" w:hAnsi="Arial Black"/>
                <w:b/>
                <w:color w:val="FFFFFF"/>
                <w:sz w:val="28"/>
                <w:szCs w:val="28"/>
              </w:rPr>
              <w:t>2020</w:t>
            </w:r>
            <w:r w:rsidRPr="00B67A87">
              <w:rPr>
                <w:rFonts w:ascii="Arial Black" w:hAnsi="Arial Black"/>
                <w:b/>
                <w:color w:val="FFFFFF"/>
                <w:sz w:val="28"/>
                <w:szCs w:val="28"/>
              </w:rPr>
              <w:t>-20</w:t>
            </w:r>
            <w:r w:rsidR="005E463D">
              <w:rPr>
                <w:rFonts w:ascii="Arial Black" w:hAnsi="Arial Black"/>
                <w:b/>
                <w:color w:val="FFFFFF"/>
                <w:sz w:val="28"/>
                <w:szCs w:val="28"/>
              </w:rPr>
              <w:t>21</w:t>
            </w:r>
            <w:r>
              <w:rPr>
                <w:color w:val="FFFFFF"/>
                <w:sz w:val="28"/>
                <w:szCs w:val="28"/>
              </w:rPr>
              <w:t>)</w:t>
            </w:r>
          </w:p>
        </w:tc>
      </w:tr>
      <w:tr w:rsidR="00373786">
        <w:tc>
          <w:tcPr>
            <w:tcW w:w="11016" w:type="dxa"/>
            <w:gridSpan w:val="3"/>
            <w:tcBorders>
              <w:top w:val="nil"/>
              <w:left w:val="nil"/>
              <w:bottom w:val="single" w:sz="4" w:space="0" w:color="000000"/>
              <w:right w:val="nil"/>
            </w:tcBorders>
          </w:tcPr>
          <w:p w:rsidR="00373786" w:rsidRDefault="00373786">
            <w:pPr>
              <w:spacing w:after="0" w:line="240" w:lineRule="auto"/>
              <w:rPr>
                <w:sz w:val="16"/>
                <w:szCs w:val="16"/>
              </w:rPr>
            </w:pPr>
          </w:p>
          <w:p w:rsidR="00373786" w:rsidRDefault="00373786">
            <w:pPr>
              <w:spacing w:after="0" w:line="240" w:lineRule="auto"/>
              <w:rPr>
                <w:sz w:val="24"/>
                <w:szCs w:val="24"/>
              </w:rPr>
            </w:pPr>
          </w:p>
        </w:tc>
      </w:tr>
      <w:tr w:rsidR="00373786">
        <w:tc>
          <w:tcPr>
            <w:tcW w:w="11016" w:type="dxa"/>
            <w:gridSpan w:val="3"/>
            <w:tcBorders>
              <w:top w:val="single" w:sz="4" w:space="0" w:color="000000"/>
            </w:tcBorders>
            <w:shd w:val="clear" w:color="auto" w:fill="A6A6A6"/>
          </w:tcPr>
          <w:p w:rsidR="00373786" w:rsidRDefault="00B67A87">
            <w:pPr>
              <w:spacing w:after="0" w:line="240" w:lineRule="auto"/>
              <w:jc w:val="center"/>
              <w:rPr>
                <w:b/>
                <w:sz w:val="24"/>
                <w:szCs w:val="24"/>
              </w:rPr>
            </w:pPr>
            <w:r>
              <w:rPr>
                <w:b/>
                <w:sz w:val="24"/>
                <w:szCs w:val="24"/>
              </w:rPr>
              <w:t>Connaissances abordées durant l’année (maîtrise)</w:t>
            </w:r>
          </w:p>
          <w:p w:rsidR="00373786" w:rsidRDefault="00B67A87">
            <w:pPr>
              <w:spacing w:after="0" w:line="240" w:lineRule="auto"/>
              <w:jc w:val="center"/>
              <w:rPr>
                <w:sz w:val="20"/>
                <w:szCs w:val="20"/>
              </w:rPr>
            </w:pPr>
            <w:r>
              <w:rPr>
                <w:sz w:val="20"/>
                <w:szCs w:val="20"/>
              </w:rPr>
              <w:t>Tout au long de l’année, l’élève élargit son champ de connaissances en mathématique.</w:t>
            </w:r>
          </w:p>
        </w:tc>
      </w:tr>
      <w:tr w:rsidR="00373786">
        <w:tc>
          <w:tcPr>
            <w:tcW w:w="3673" w:type="dxa"/>
          </w:tcPr>
          <w:p w:rsidR="00373786" w:rsidRDefault="00B67A87">
            <w:pPr>
              <w:spacing w:after="0" w:line="240" w:lineRule="auto"/>
              <w:jc w:val="center"/>
              <w:rPr>
                <w:b/>
              </w:rPr>
            </w:pPr>
            <w:r>
              <w:rPr>
                <w:b/>
              </w:rPr>
              <w:t>Étape 1</w:t>
            </w:r>
          </w:p>
        </w:tc>
        <w:tc>
          <w:tcPr>
            <w:tcW w:w="3523" w:type="dxa"/>
          </w:tcPr>
          <w:p w:rsidR="00373786" w:rsidRDefault="00B67A87">
            <w:pPr>
              <w:spacing w:after="0" w:line="240" w:lineRule="auto"/>
              <w:jc w:val="center"/>
              <w:rPr>
                <w:b/>
              </w:rPr>
            </w:pPr>
            <w:r>
              <w:rPr>
                <w:b/>
              </w:rPr>
              <w:t>Étape 2</w:t>
            </w:r>
          </w:p>
        </w:tc>
        <w:tc>
          <w:tcPr>
            <w:tcW w:w="3820" w:type="dxa"/>
          </w:tcPr>
          <w:p w:rsidR="00373786" w:rsidRDefault="00B67A87">
            <w:pPr>
              <w:spacing w:after="0" w:line="240" w:lineRule="auto"/>
              <w:jc w:val="center"/>
              <w:rPr>
                <w:b/>
              </w:rPr>
            </w:pPr>
            <w:r>
              <w:rPr>
                <w:b/>
              </w:rPr>
              <w:t>Étape 3</w:t>
            </w:r>
          </w:p>
        </w:tc>
      </w:tr>
      <w:tr w:rsidR="00373786">
        <w:tc>
          <w:tcPr>
            <w:tcW w:w="3673" w:type="dxa"/>
          </w:tcPr>
          <w:p w:rsidR="00373786" w:rsidRDefault="00373786">
            <w:pPr>
              <w:spacing w:after="0" w:line="240" w:lineRule="auto"/>
              <w:rPr>
                <w:b/>
                <w:sz w:val="18"/>
                <w:szCs w:val="18"/>
                <w:u w:val="single"/>
              </w:rPr>
            </w:pPr>
          </w:p>
          <w:p w:rsidR="00373786" w:rsidRDefault="00B67A87">
            <w:pPr>
              <w:spacing w:after="0" w:line="240" w:lineRule="auto"/>
              <w:rPr>
                <w:b/>
                <w:i/>
                <w:sz w:val="18"/>
                <w:szCs w:val="18"/>
                <w:u w:val="single"/>
              </w:rPr>
            </w:pPr>
            <w:r>
              <w:rPr>
                <w:b/>
                <w:sz w:val="18"/>
                <w:szCs w:val="18"/>
                <w:u w:val="single"/>
              </w:rPr>
              <w:t>Les nombres réels (Chap</w:t>
            </w:r>
            <w:r w:rsidR="007D51E7">
              <w:rPr>
                <w:b/>
                <w:sz w:val="18"/>
                <w:szCs w:val="18"/>
                <w:u w:val="single"/>
              </w:rPr>
              <w:t>-</w:t>
            </w:r>
            <w:r>
              <w:rPr>
                <w:b/>
                <w:sz w:val="18"/>
                <w:szCs w:val="18"/>
                <w:u w:val="single"/>
              </w:rPr>
              <w:t>1</w:t>
            </w:r>
            <w:r w:rsidR="007D51E7">
              <w:rPr>
                <w:b/>
                <w:sz w:val="18"/>
                <w:szCs w:val="18"/>
                <w:u w:val="single"/>
              </w:rPr>
              <w:t>-Sommet; P7-39</w:t>
            </w:r>
            <w:r>
              <w:rPr>
                <w:b/>
                <w:sz w:val="18"/>
                <w:szCs w:val="18"/>
                <w:u w:val="single"/>
              </w:rPr>
              <w:t>)</w:t>
            </w:r>
            <w:r>
              <w:rPr>
                <w:i/>
                <w:sz w:val="18"/>
                <w:szCs w:val="18"/>
              </w:rPr>
              <w:t xml:space="preserve"> </w:t>
            </w:r>
          </w:p>
          <w:p w:rsidR="00373786" w:rsidRDefault="00B67A87" w:rsidP="0018444A">
            <w:pPr>
              <w:numPr>
                <w:ilvl w:val="1"/>
                <w:numId w:val="3"/>
              </w:numPr>
              <w:pBdr>
                <w:top w:val="nil"/>
                <w:left w:val="nil"/>
                <w:bottom w:val="nil"/>
                <w:right w:val="nil"/>
                <w:between w:val="nil"/>
              </w:pBdr>
              <w:spacing w:after="0" w:line="240" w:lineRule="auto"/>
              <w:ind w:left="284" w:hanging="283"/>
              <w:rPr>
                <w:color w:val="000000"/>
                <w:sz w:val="18"/>
                <w:szCs w:val="18"/>
              </w:rPr>
            </w:pPr>
            <w:r w:rsidRPr="0018444A">
              <w:rPr>
                <w:color w:val="000000"/>
                <w:sz w:val="18"/>
                <w:szCs w:val="18"/>
              </w:rPr>
              <w:t>Les ensembles de nombres</w:t>
            </w:r>
            <w:r w:rsidR="0018444A" w:rsidRPr="0018444A">
              <w:rPr>
                <w:color w:val="000000"/>
                <w:sz w:val="18"/>
                <w:szCs w:val="18"/>
              </w:rPr>
              <w:t xml:space="preserve"> et relation de Pythagore</w:t>
            </w:r>
            <w:r w:rsidRPr="0018444A">
              <w:rPr>
                <w:color w:val="000000"/>
                <w:sz w:val="18"/>
                <w:szCs w:val="18"/>
              </w:rPr>
              <w:t xml:space="preserve"> </w:t>
            </w:r>
            <w:r w:rsidRPr="0018444A">
              <w:rPr>
                <w:b/>
                <w:color w:val="000000"/>
                <w:sz w:val="18"/>
                <w:szCs w:val="18"/>
              </w:rPr>
              <w:t>(Vision 1.3</w:t>
            </w:r>
            <w:r w:rsidR="007D51E7" w:rsidRPr="0018444A">
              <w:rPr>
                <w:b/>
                <w:color w:val="000000"/>
                <w:sz w:val="18"/>
                <w:szCs w:val="18"/>
              </w:rPr>
              <w:t>; P32</w:t>
            </w:r>
            <w:r w:rsidRPr="0018444A">
              <w:rPr>
                <w:color w:val="000000"/>
                <w:sz w:val="18"/>
                <w:szCs w:val="18"/>
              </w:rPr>
              <w:t>)</w:t>
            </w:r>
          </w:p>
          <w:p w:rsidR="00373786" w:rsidRPr="0018444A" w:rsidRDefault="00B67A87" w:rsidP="0018444A">
            <w:pPr>
              <w:pStyle w:val="Paragraphedeliste"/>
              <w:numPr>
                <w:ilvl w:val="0"/>
                <w:numId w:val="3"/>
              </w:numPr>
              <w:pBdr>
                <w:top w:val="nil"/>
                <w:left w:val="nil"/>
                <w:bottom w:val="nil"/>
                <w:right w:val="nil"/>
                <w:between w:val="nil"/>
              </w:pBdr>
              <w:spacing w:after="0" w:line="240" w:lineRule="auto"/>
              <w:ind w:left="284" w:hanging="284"/>
              <w:rPr>
                <w:color w:val="000000"/>
                <w:sz w:val="18"/>
                <w:szCs w:val="18"/>
              </w:rPr>
            </w:pPr>
            <w:r w:rsidRPr="0018444A">
              <w:rPr>
                <w:color w:val="000000"/>
                <w:sz w:val="18"/>
                <w:szCs w:val="18"/>
              </w:rPr>
              <w:t xml:space="preserve">La notation exponentielle </w:t>
            </w:r>
            <w:r w:rsidRPr="0018444A">
              <w:rPr>
                <w:b/>
                <w:color w:val="000000"/>
                <w:sz w:val="18"/>
                <w:szCs w:val="18"/>
              </w:rPr>
              <w:t>(Vision 6.1</w:t>
            </w:r>
            <w:r w:rsidR="0018444A">
              <w:rPr>
                <w:b/>
                <w:color w:val="000000"/>
                <w:sz w:val="18"/>
                <w:szCs w:val="18"/>
              </w:rPr>
              <w:t>; P76</w:t>
            </w:r>
            <w:r w:rsidRPr="0018444A">
              <w:rPr>
                <w:b/>
                <w:color w:val="000000"/>
                <w:sz w:val="18"/>
                <w:szCs w:val="18"/>
              </w:rPr>
              <w:t>)</w:t>
            </w:r>
          </w:p>
          <w:p w:rsidR="00373786" w:rsidRDefault="00B67A87" w:rsidP="0018444A">
            <w:pPr>
              <w:numPr>
                <w:ilvl w:val="1"/>
                <w:numId w:val="3"/>
              </w:numPr>
              <w:pBdr>
                <w:top w:val="nil"/>
                <w:left w:val="nil"/>
                <w:bottom w:val="nil"/>
                <w:right w:val="nil"/>
                <w:between w:val="nil"/>
              </w:pBdr>
              <w:spacing w:after="0" w:line="240" w:lineRule="auto"/>
              <w:ind w:left="284" w:hanging="284"/>
              <w:rPr>
                <w:color w:val="000000"/>
                <w:sz w:val="18"/>
                <w:szCs w:val="18"/>
              </w:rPr>
            </w:pPr>
            <w:r>
              <w:rPr>
                <w:color w:val="000000"/>
                <w:sz w:val="18"/>
                <w:szCs w:val="18"/>
              </w:rPr>
              <w:t xml:space="preserve">La notation scientifique et le système international d’unités </w:t>
            </w:r>
            <w:r>
              <w:rPr>
                <w:b/>
                <w:color w:val="000000"/>
                <w:sz w:val="18"/>
                <w:szCs w:val="18"/>
              </w:rPr>
              <w:t>(Vision 6.1)</w:t>
            </w:r>
          </w:p>
          <w:p w:rsidR="00373786" w:rsidRDefault="00373786">
            <w:pPr>
              <w:pBdr>
                <w:top w:val="nil"/>
                <w:left w:val="nil"/>
                <w:bottom w:val="nil"/>
                <w:right w:val="nil"/>
                <w:between w:val="nil"/>
              </w:pBdr>
              <w:spacing w:after="0" w:line="240" w:lineRule="auto"/>
              <w:ind w:hanging="720"/>
              <w:rPr>
                <w:b/>
                <w:color w:val="000000"/>
                <w:sz w:val="18"/>
                <w:szCs w:val="18"/>
                <w:u w:val="single"/>
              </w:rPr>
            </w:pPr>
          </w:p>
          <w:p w:rsidR="00373786" w:rsidRDefault="00B67A87">
            <w:pPr>
              <w:pBdr>
                <w:top w:val="nil"/>
                <w:left w:val="nil"/>
                <w:bottom w:val="nil"/>
                <w:right w:val="nil"/>
                <w:between w:val="nil"/>
              </w:pBdr>
              <w:spacing w:after="0" w:line="240" w:lineRule="auto"/>
              <w:ind w:left="705" w:hanging="720"/>
              <w:rPr>
                <w:color w:val="000000"/>
                <w:sz w:val="18"/>
                <w:szCs w:val="18"/>
              </w:rPr>
            </w:pPr>
            <w:r>
              <w:rPr>
                <w:b/>
                <w:color w:val="000000"/>
                <w:sz w:val="18"/>
                <w:szCs w:val="18"/>
                <w:u w:val="single"/>
              </w:rPr>
              <w:t xml:space="preserve">L’aire des solides </w:t>
            </w:r>
            <w:r w:rsidR="007D51E7">
              <w:rPr>
                <w:b/>
                <w:sz w:val="18"/>
                <w:szCs w:val="18"/>
                <w:u w:val="single"/>
              </w:rPr>
              <w:t>(Chap-5-Sommet; P196-227)</w:t>
            </w:r>
            <w:r w:rsidR="007D51E7">
              <w:rPr>
                <w:i/>
                <w:sz w:val="18"/>
                <w:szCs w:val="18"/>
              </w:rPr>
              <w:t xml:space="preserve"> </w:t>
            </w:r>
            <w:r>
              <w:rPr>
                <w:color w:val="000000"/>
                <w:sz w:val="18"/>
                <w:szCs w:val="18"/>
              </w:rPr>
              <w:t xml:space="preserve"> </w:t>
            </w:r>
          </w:p>
          <w:p w:rsidR="00373786" w:rsidRDefault="00B67A87">
            <w:pPr>
              <w:pBdr>
                <w:top w:val="nil"/>
                <w:left w:val="nil"/>
                <w:bottom w:val="nil"/>
                <w:right w:val="nil"/>
                <w:between w:val="nil"/>
              </w:pBdr>
              <w:spacing w:after="0" w:line="240" w:lineRule="auto"/>
              <w:ind w:left="705" w:hanging="720"/>
              <w:rPr>
                <w:b/>
                <w:color w:val="000000"/>
                <w:sz w:val="18"/>
                <w:szCs w:val="18"/>
              </w:rPr>
            </w:pPr>
            <w:r>
              <w:rPr>
                <w:b/>
                <w:color w:val="000000"/>
                <w:sz w:val="18"/>
                <w:szCs w:val="18"/>
              </w:rPr>
              <w:t xml:space="preserve">(Vision </w:t>
            </w:r>
            <w:r w:rsidR="001865DA">
              <w:rPr>
                <w:b/>
                <w:color w:val="000000"/>
                <w:sz w:val="18"/>
                <w:szCs w:val="18"/>
              </w:rPr>
              <w:t>1</w:t>
            </w:r>
            <w:r>
              <w:rPr>
                <w:b/>
                <w:color w:val="000000"/>
                <w:sz w:val="18"/>
                <w:szCs w:val="18"/>
              </w:rPr>
              <w:t>.1</w:t>
            </w:r>
            <w:r w:rsidR="001865DA">
              <w:rPr>
                <w:b/>
                <w:color w:val="000000"/>
                <w:sz w:val="18"/>
                <w:szCs w:val="18"/>
              </w:rPr>
              <w:t>-1.2</w:t>
            </w:r>
            <w:r w:rsidR="0018444A">
              <w:rPr>
                <w:b/>
                <w:color w:val="000000"/>
                <w:sz w:val="18"/>
                <w:szCs w:val="18"/>
              </w:rPr>
              <w:t>; P</w:t>
            </w:r>
            <w:r w:rsidR="001865DA">
              <w:rPr>
                <w:b/>
                <w:color w:val="000000"/>
                <w:sz w:val="18"/>
                <w:szCs w:val="18"/>
              </w:rPr>
              <w:t>10-31</w:t>
            </w:r>
            <w:r>
              <w:rPr>
                <w:b/>
                <w:color w:val="000000"/>
                <w:sz w:val="18"/>
                <w:szCs w:val="18"/>
              </w:rPr>
              <w:t>)</w:t>
            </w:r>
          </w:p>
          <w:p w:rsidR="00373786" w:rsidRDefault="00373786">
            <w:pPr>
              <w:pBdr>
                <w:top w:val="nil"/>
                <w:left w:val="nil"/>
                <w:bottom w:val="nil"/>
                <w:right w:val="nil"/>
                <w:between w:val="nil"/>
              </w:pBdr>
              <w:spacing w:after="0" w:line="240" w:lineRule="auto"/>
              <w:ind w:hanging="720"/>
              <w:rPr>
                <w:b/>
                <w:color w:val="000000"/>
                <w:sz w:val="18"/>
                <w:szCs w:val="18"/>
              </w:rPr>
            </w:pPr>
          </w:p>
          <w:p w:rsidR="00373786" w:rsidRDefault="007D51E7">
            <w:pPr>
              <w:pBdr>
                <w:top w:val="nil"/>
                <w:left w:val="nil"/>
                <w:bottom w:val="nil"/>
                <w:right w:val="nil"/>
                <w:between w:val="nil"/>
              </w:pBdr>
              <w:spacing w:after="0" w:line="240" w:lineRule="auto"/>
              <w:ind w:left="708" w:hanging="720"/>
              <w:rPr>
                <w:color w:val="000000"/>
                <w:sz w:val="18"/>
                <w:szCs w:val="18"/>
              </w:rPr>
            </w:pPr>
            <w:r>
              <w:rPr>
                <w:b/>
                <w:color w:val="000000"/>
                <w:sz w:val="18"/>
                <w:szCs w:val="18"/>
                <w:u w:val="single"/>
              </w:rPr>
              <w:t xml:space="preserve">Calcul </w:t>
            </w:r>
            <w:proofErr w:type="gramStart"/>
            <w:r>
              <w:rPr>
                <w:b/>
                <w:color w:val="000000"/>
                <w:sz w:val="18"/>
                <w:szCs w:val="18"/>
                <w:u w:val="single"/>
              </w:rPr>
              <w:t>algébrique</w:t>
            </w:r>
            <w:r>
              <w:rPr>
                <w:b/>
                <w:sz w:val="18"/>
                <w:szCs w:val="18"/>
                <w:u w:val="single"/>
              </w:rPr>
              <w:t>(</w:t>
            </w:r>
            <w:proofErr w:type="gramEnd"/>
            <w:r>
              <w:rPr>
                <w:b/>
                <w:sz w:val="18"/>
                <w:szCs w:val="18"/>
                <w:u w:val="single"/>
              </w:rPr>
              <w:t>Chap-2-Sommet; P49-79)</w:t>
            </w:r>
            <w:r w:rsidR="00B67A87">
              <w:rPr>
                <w:b/>
                <w:color w:val="000000"/>
                <w:sz w:val="18"/>
                <w:szCs w:val="18"/>
                <w:u w:val="single"/>
              </w:rPr>
              <w:t>)</w:t>
            </w:r>
            <w:r w:rsidR="00B67A87">
              <w:rPr>
                <w:color w:val="000000"/>
                <w:sz w:val="18"/>
                <w:szCs w:val="18"/>
              </w:rPr>
              <w:t xml:space="preserve"> </w:t>
            </w:r>
          </w:p>
          <w:p w:rsidR="00373786" w:rsidRDefault="00B67A87">
            <w:pPr>
              <w:numPr>
                <w:ilvl w:val="0"/>
                <w:numId w:val="2"/>
              </w:numPr>
              <w:pBdr>
                <w:top w:val="nil"/>
                <w:left w:val="nil"/>
                <w:bottom w:val="nil"/>
                <w:right w:val="nil"/>
                <w:between w:val="nil"/>
              </w:pBdr>
              <w:spacing w:after="0" w:line="240" w:lineRule="auto"/>
              <w:ind w:left="403" w:hanging="141"/>
              <w:rPr>
                <w:color w:val="000000"/>
                <w:sz w:val="18"/>
                <w:szCs w:val="18"/>
              </w:rPr>
            </w:pPr>
            <w:r>
              <w:rPr>
                <w:color w:val="000000"/>
                <w:sz w:val="18"/>
                <w:szCs w:val="18"/>
              </w:rPr>
              <w:t xml:space="preserve">Opérations sur les expressions algébriques </w:t>
            </w:r>
            <w:r>
              <w:rPr>
                <w:b/>
                <w:color w:val="000000"/>
                <w:sz w:val="18"/>
                <w:szCs w:val="18"/>
              </w:rPr>
              <w:t>(Vision 5.5</w:t>
            </w:r>
            <w:r w:rsidR="0018444A">
              <w:rPr>
                <w:b/>
                <w:color w:val="000000"/>
                <w:sz w:val="18"/>
                <w:szCs w:val="18"/>
              </w:rPr>
              <w:t>; P48</w:t>
            </w:r>
            <w:r>
              <w:rPr>
                <w:b/>
                <w:color w:val="000000"/>
                <w:sz w:val="18"/>
                <w:szCs w:val="18"/>
              </w:rPr>
              <w:t>)</w:t>
            </w:r>
          </w:p>
          <w:p w:rsidR="00373786" w:rsidRDefault="00373786">
            <w:pPr>
              <w:pBdr>
                <w:top w:val="nil"/>
                <w:left w:val="nil"/>
                <w:bottom w:val="nil"/>
                <w:right w:val="nil"/>
                <w:between w:val="nil"/>
              </w:pBdr>
              <w:spacing w:after="0" w:line="240" w:lineRule="auto"/>
              <w:ind w:hanging="720"/>
              <w:rPr>
                <w:color w:val="000000"/>
                <w:sz w:val="18"/>
                <w:szCs w:val="18"/>
              </w:rPr>
            </w:pPr>
          </w:p>
        </w:tc>
        <w:tc>
          <w:tcPr>
            <w:tcW w:w="3523" w:type="dxa"/>
          </w:tcPr>
          <w:p w:rsidR="00373786" w:rsidRDefault="00373786">
            <w:pPr>
              <w:spacing w:after="0" w:line="240" w:lineRule="auto"/>
              <w:rPr>
                <w:b/>
                <w:sz w:val="18"/>
                <w:szCs w:val="18"/>
                <w:u w:val="single"/>
              </w:rPr>
            </w:pPr>
          </w:p>
          <w:p w:rsidR="00373786" w:rsidRDefault="00B67A87">
            <w:pPr>
              <w:spacing w:after="0" w:line="240" w:lineRule="auto"/>
              <w:rPr>
                <w:b/>
                <w:sz w:val="18"/>
                <w:szCs w:val="18"/>
                <w:u w:val="single"/>
              </w:rPr>
            </w:pPr>
            <w:r>
              <w:rPr>
                <w:b/>
                <w:sz w:val="18"/>
                <w:szCs w:val="18"/>
                <w:u w:val="single"/>
              </w:rPr>
              <w:t xml:space="preserve">Les relations et les fonctions </w:t>
            </w:r>
            <w:r w:rsidR="00A61A8B">
              <w:rPr>
                <w:b/>
                <w:sz w:val="18"/>
                <w:szCs w:val="18"/>
                <w:u w:val="single"/>
              </w:rPr>
              <w:t>(Chap-3-Sommet; P103-143)</w:t>
            </w:r>
          </w:p>
          <w:p w:rsidR="00A61A8B" w:rsidRDefault="00A61A8B">
            <w:pPr>
              <w:spacing w:after="0" w:line="240" w:lineRule="auto"/>
              <w:rPr>
                <w:b/>
                <w:sz w:val="18"/>
                <w:szCs w:val="18"/>
              </w:rPr>
            </w:pPr>
          </w:p>
          <w:p w:rsidR="00373786" w:rsidRDefault="00B67A87">
            <w:pPr>
              <w:spacing w:after="0" w:line="240" w:lineRule="auto"/>
              <w:rPr>
                <w:b/>
                <w:sz w:val="18"/>
                <w:szCs w:val="18"/>
              </w:rPr>
            </w:pPr>
            <w:r>
              <w:rPr>
                <w:b/>
                <w:sz w:val="18"/>
                <w:szCs w:val="18"/>
              </w:rPr>
              <w:t>(Vision 2</w:t>
            </w:r>
            <w:r w:rsidR="00A61A8B">
              <w:rPr>
                <w:b/>
                <w:sz w:val="18"/>
                <w:szCs w:val="18"/>
              </w:rPr>
              <w:t>; P58</w:t>
            </w:r>
            <w:r>
              <w:rPr>
                <w:b/>
                <w:sz w:val="18"/>
                <w:szCs w:val="18"/>
              </w:rPr>
              <w:t xml:space="preserve">) </w:t>
            </w:r>
          </w:p>
          <w:p w:rsidR="00373786" w:rsidRDefault="00B67A87" w:rsidP="00BF276C">
            <w:pPr>
              <w:numPr>
                <w:ilvl w:val="0"/>
                <w:numId w:val="1"/>
              </w:numPr>
              <w:pBdr>
                <w:top w:val="nil"/>
                <w:left w:val="nil"/>
                <w:bottom w:val="nil"/>
                <w:right w:val="nil"/>
                <w:between w:val="nil"/>
              </w:pBdr>
              <w:spacing w:after="0" w:line="240" w:lineRule="auto"/>
              <w:ind w:left="438" w:hanging="283"/>
              <w:rPr>
                <w:color w:val="000000"/>
                <w:sz w:val="18"/>
                <w:szCs w:val="18"/>
              </w:rPr>
            </w:pPr>
            <w:r>
              <w:rPr>
                <w:color w:val="000000"/>
                <w:sz w:val="18"/>
                <w:szCs w:val="18"/>
              </w:rPr>
              <w:t xml:space="preserve">Les relations, les fonctions et leurs réciproques. </w:t>
            </w:r>
          </w:p>
          <w:p w:rsidR="00373786" w:rsidRDefault="00B67A87" w:rsidP="00BF276C">
            <w:pPr>
              <w:numPr>
                <w:ilvl w:val="0"/>
                <w:numId w:val="1"/>
              </w:numPr>
              <w:pBdr>
                <w:top w:val="nil"/>
                <w:left w:val="nil"/>
                <w:bottom w:val="nil"/>
                <w:right w:val="nil"/>
                <w:between w:val="nil"/>
              </w:pBdr>
              <w:spacing w:after="0" w:line="240" w:lineRule="auto"/>
              <w:ind w:left="438" w:hanging="283"/>
              <w:rPr>
                <w:color w:val="000000"/>
                <w:sz w:val="18"/>
                <w:szCs w:val="18"/>
              </w:rPr>
            </w:pPr>
            <w:r>
              <w:rPr>
                <w:color w:val="000000"/>
                <w:sz w:val="18"/>
                <w:szCs w:val="18"/>
              </w:rPr>
              <w:t>Les fonctions associées aux situations de proportionnalité</w:t>
            </w:r>
          </w:p>
          <w:p w:rsidR="00373786" w:rsidRDefault="00B67A87" w:rsidP="00BF276C">
            <w:pPr>
              <w:numPr>
                <w:ilvl w:val="0"/>
                <w:numId w:val="1"/>
              </w:numPr>
              <w:pBdr>
                <w:top w:val="nil"/>
                <w:left w:val="nil"/>
                <w:bottom w:val="nil"/>
                <w:right w:val="nil"/>
                <w:between w:val="nil"/>
              </w:pBdr>
              <w:spacing w:after="0" w:line="240" w:lineRule="auto"/>
              <w:ind w:left="438" w:hanging="283"/>
              <w:rPr>
                <w:color w:val="000000"/>
                <w:sz w:val="18"/>
                <w:szCs w:val="18"/>
              </w:rPr>
            </w:pPr>
            <w:r>
              <w:rPr>
                <w:color w:val="000000"/>
                <w:sz w:val="18"/>
                <w:szCs w:val="18"/>
              </w:rPr>
              <w:t>Les propriétés des fonctions</w:t>
            </w:r>
          </w:p>
          <w:p w:rsidR="00373786" w:rsidRDefault="00B67A87" w:rsidP="00BF276C">
            <w:pPr>
              <w:numPr>
                <w:ilvl w:val="0"/>
                <w:numId w:val="1"/>
              </w:numPr>
              <w:pBdr>
                <w:top w:val="nil"/>
                <w:left w:val="nil"/>
                <w:bottom w:val="nil"/>
                <w:right w:val="nil"/>
                <w:between w:val="nil"/>
              </w:pBdr>
              <w:spacing w:after="0" w:line="240" w:lineRule="auto"/>
              <w:ind w:left="438" w:hanging="283"/>
              <w:rPr>
                <w:color w:val="000000"/>
                <w:sz w:val="18"/>
                <w:szCs w:val="18"/>
              </w:rPr>
            </w:pPr>
            <w:r>
              <w:rPr>
                <w:color w:val="000000"/>
                <w:sz w:val="18"/>
                <w:szCs w:val="18"/>
              </w:rPr>
              <w:t>Les fonctions polynomiales de degré 0 et 1</w:t>
            </w:r>
            <w:r w:rsidR="00BF276C">
              <w:rPr>
                <w:color w:val="000000"/>
                <w:sz w:val="18"/>
                <w:szCs w:val="18"/>
              </w:rPr>
              <w:t>; et fonction inverse.</w:t>
            </w:r>
          </w:p>
          <w:p w:rsidR="00373786" w:rsidRDefault="00B67A87" w:rsidP="00BF276C">
            <w:pPr>
              <w:numPr>
                <w:ilvl w:val="0"/>
                <w:numId w:val="1"/>
              </w:numPr>
              <w:pBdr>
                <w:top w:val="nil"/>
                <w:left w:val="nil"/>
                <w:bottom w:val="nil"/>
                <w:right w:val="nil"/>
                <w:between w:val="nil"/>
              </w:pBdr>
              <w:spacing w:after="0" w:line="240" w:lineRule="auto"/>
              <w:ind w:left="438" w:hanging="283"/>
              <w:rPr>
                <w:color w:val="000000"/>
                <w:sz w:val="18"/>
                <w:szCs w:val="18"/>
              </w:rPr>
            </w:pPr>
            <w:r>
              <w:rPr>
                <w:color w:val="000000"/>
                <w:sz w:val="18"/>
                <w:szCs w:val="18"/>
              </w:rPr>
              <w:t>La modélisation d’une situation</w:t>
            </w:r>
          </w:p>
          <w:p w:rsidR="00373786" w:rsidRDefault="00373786">
            <w:pPr>
              <w:pBdr>
                <w:top w:val="nil"/>
                <w:left w:val="nil"/>
                <w:bottom w:val="nil"/>
                <w:right w:val="nil"/>
                <w:between w:val="nil"/>
              </w:pBdr>
              <w:spacing w:after="0" w:line="240" w:lineRule="auto"/>
              <w:ind w:hanging="720"/>
              <w:rPr>
                <w:color w:val="000000"/>
                <w:sz w:val="18"/>
                <w:szCs w:val="18"/>
              </w:rPr>
            </w:pPr>
          </w:p>
          <w:p w:rsidR="00373786" w:rsidRDefault="00B67A87">
            <w:pPr>
              <w:pBdr>
                <w:top w:val="nil"/>
                <w:left w:val="nil"/>
                <w:bottom w:val="nil"/>
                <w:right w:val="nil"/>
                <w:between w:val="nil"/>
              </w:pBdr>
              <w:spacing w:after="0" w:line="240" w:lineRule="auto"/>
              <w:ind w:left="708" w:hanging="720"/>
              <w:rPr>
                <w:b/>
                <w:color w:val="000000"/>
                <w:sz w:val="18"/>
                <w:szCs w:val="18"/>
                <w:u w:val="single"/>
              </w:rPr>
            </w:pPr>
            <w:r>
              <w:rPr>
                <w:b/>
                <w:color w:val="000000"/>
                <w:sz w:val="18"/>
                <w:szCs w:val="18"/>
                <w:u w:val="single"/>
              </w:rPr>
              <w:t xml:space="preserve">Les systèmes d’équations et les inéquations </w:t>
            </w:r>
            <w:r w:rsidR="00A61A8B">
              <w:rPr>
                <w:b/>
                <w:sz w:val="18"/>
                <w:szCs w:val="18"/>
                <w:u w:val="single"/>
              </w:rPr>
              <w:t>(Chap-4-Sommet; P157-187)</w:t>
            </w:r>
            <w:r w:rsidR="00A61A8B">
              <w:rPr>
                <w:i/>
                <w:sz w:val="18"/>
                <w:szCs w:val="18"/>
              </w:rPr>
              <w:t xml:space="preserve"> </w:t>
            </w:r>
            <w:r>
              <w:rPr>
                <w:b/>
                <w:color w:val="000000"/>
                <w:sz w:val="18"/>
                <w:szCs w:val="18"/>
                <w:u w:val="single"/>
              </w:rPr>
              <w:t xml:space="preserve"> </w:t>
            </w:r>
          </w:p>
          <w:p w:rsidR="00373786" w:rsidRDefault="00B67A87">
            <w:pPr>
              <w:numPr>
                <w:ilvl w:val="0"/>
                <w:numId w:val="3"/>
              </w:numPr>
              <w:pBdr>
                <w:top w:val="nil"/>
                <w:left w:val="nil"/>
                <w:bottom w:val="nil"/>
                <w:right w:val="nil"/>
                <w:between w:val="nil"/>
              </w:pBdr>
              <w:spacing w:after="0" w:line="240" w:lineRule="auto"/>
              <w:ind w:left="403" w:hanging="141"/>
              <w:rPr>
                <w:color w:val="000000"/>
                <w:sz w:val="18"/>
                <w:szCs w:val="18"/>
              </w:rPr>
            </w:pPr>
            <w:r>
              <w:rPr>
                <w:color w:val="000000"/>
                <w:sz w:val="18"/>
                <w:szCs w:val="18"/>
              </w:rPr>
              <w:t xml:space="preserve">Système d’équations </w:t>
            </w:r>
            <w:r>
              <w:rPr>
                <w:b/>
                <w:color w:val="000000"/>
                <w:sz w:val="18"/>
                <w:szCs w:val="18"/>
              </w:rPr>
              <w:t>(Vision 7.1-7.2</w:t>
            </w:r>
            <w:r w:rsidR="00A61A8B">
              <w:rPr>
                <w:b/>
                <w:color w:val="000000"/>
                <w:sz w:val="18"/>
                <w:szCs w:val="18"/>
              </w:rPr>
              <w:t>; P130-150</w:t>
            </w:r>
            <w:r>
              <w:rPr>
                <w:b/>
                <w:color w:val="000000"/>
                <w:sz w:val="18"/>
                <w:szCs w:val="18"/>
              </w:rPr>
              <w:t>)</w:t>
            </w:r>
          </w:p>
          <w:p w:rsidR="00373786" w:rsidRDefault="00B67A87">
            <w:pPr>
              <w:numPr>
                <w:ilvl w:val="0"/>
                <w:numId w:val="3"/>
              </w:numPr>
              <w:pBdr>
                <w:top w:val="nil"/>
                <w:left w:val="nil"/>
                <w:bottom w:val="nil"/>
                <w:right w:val="nil"/>
                <w:between w:val="nil"/>
              </w:pBdr>
              <w:spacing w:after="0" w:line="240" w:lineRule="auto"/>
              <w:ind w:left="403" w:hanging="141"/>
              <w:rPr>
                <w:color w:val="000000"/>
                <w:sz w:val="18"/>
                <w:szCs w:val="18"/>
              </w:rPr>
            </w:pPr>
            <w:r>
              <w:rPr>
                <w:color w:val="000000"/>
                <w:sz w:val="18"/>
                <w:szCs w:val="18"/>
              </w:rPr>
              <w:t xml:space="preserve">Les inéquations </w:t>
            </w:r>
            <w:r>
              <w:rPr>
                <w:b/>
                <w:color w:val="000000"/>
                <w:sz w:val="18"/>
                <w:szCs w:val="18"/>
              </w:rPr>
              <w:t>(Vision 6.3</w:t>
            </w:r>
            <w:r w:rsidR="00A61A8B">
              <w:rPr>
                <w:b/>
                <w:color w:val="000000"/>
                <w:sz w:val="18"/>
                <w:szCs w:val="18"/>
              </w:rPr>
              <w:t>; P102</w:t>
            </w:r>
            <w:r>
              <w:rPr>
                <w:b/>
                <w:color w:val="000000"/>
                <w:sz w:val="18"/>
                <w:szCs w:val="18"/>
              </w:rPr>
              <w:t>)</w:t>
            </w:r>
          </w:p>
          <w:p w:rsidR="00373786" w:rsidRDefault="00373786">
            <w:pPr>
              <w:spacing w:after="0" w:line="240" w:lineRule="auto"/>
              <w:rPr>
                <w:b/>
                <w:sz w:val="18"/>
                <w:szCs w:val="18"/>
                <w:u w:val="single"/>
              </w:rPr>
            </w:pPr>
          </w:p>
          <w:p w:rsidR="00373786" w:rsidRDefault="00B67A87">
            <w:pPr>
              <w:spacing w:after="0" w:line="240" w:lineRule="auto"/>
              <w:rPr>
                <w:sz w:val="18"/>
                <w:szCs w:val="18"/>
                <w:u w:val="single"/>
              </w:rPr>
            </w:pPr>
            <w:r>
              <w:rPr>
                <w:b/>
                <w:sz w:val="18"/>
                <w:szCs w:val="18"/>
                <w:u w:val="single"/>
              </w:rPr>
              <w:t xml:space="preserve">Statistique </w:t>
            </w:r>
            <w:r w:rsidR="00BF276C">
              <w:rPr>
                <w:b/>
                <w:sz w:val="18"/>
                <w:szCs w:val="18"/>
                <w:u w:val="single"/>
              </w:rPr>
              <w:t>(Chap-7-Sommet; P301-327)</w:t>
            </w:r>
          </w:p>
          <w:p w:rsidR="00373786" w:rsidRDefault="00B67A87">
            <w:pPr>
              <w:numPr>
                <w:ilvl w:val="0"/>
                <w:numId w:val="3"/>
              </w:numPr>
              <w:spacing w:after="0" w:line="240" w:lineRule="auto"/>
              <w:ind w:left="403" w:hanging="141"/>
              <w:rPr>
                <w:sz w:val="18"/>
                <w:szCs w:val="18"/>
              </w:rPr>
            </w:pPr>
            <w:r>
              <w:rPr>
                <w:sz w:val="18"/>
                <w:szCs w:val="18"/>
              </w:rPr>
              <w:t xml:space="preserve">L’étude statistique et les méthodes d’échantillonnage </w:t>
            </w:r>
            <w:r>
              <w:rPr>
                <w:b/>
                <w:sz w:val="18"/>
                <w:szCs w:val="18"/>
              </w:rPr>
              <w:t>(Vision 3.1</w:t>
            </w:r>
            <w:r w:rsidR="004F58C2">
              <w:rPr>
                <w:b/>
                <w:sz w:val="18"/>
                <w:szCs w:val="18"/>
              </w:rPr>
              <w:t>; P112</w:t>
            </w:r>
            <w:r>
              <w:rPr>
                <w:b/>
                <w:sz w:val="18"/>
                <w:szCs w:val="18"/>
              </w:rPr>
              <w:t>)</w:t>
            </w:r>
          </w:p>
          <w:p w:rsidR="00373786" w:rsidRDefault="00B67A87">
            <w:pPr>
              <w:numPr>
                <w:ilvl w:val="0"/>
                <w:numId w:val="3"/>
              </w:numPr>
              <w:spacing w:after="0" w:line="240" w:lineRule="auto"/>
              <w:ind w:left="403" w:hanging="141"/>
              <w:rPr>
                <w:sz w:val="18"/>
                <w:szCs w:val="18"/>
              </w:rPr>
            </w:pPr>
            <w:r>
              <w:rPr>
                <w:sz w:val="18"/>
                <w:szCs w:val="18"/>
              </w:rPr>
              <w:t xml:space="preserve">L’organisation d’une distribution de données </w:t>
            </w:r>
            <w:r>
              <w:rPr>
                <w:b/>
                <w:sz w:val="18"/>
                <w:szCs w:val="18"/>
              </w:rPr>
              <w:t>(Vision 3.2</w:t>
            </w:r>
            <w:r w:rsidR="004F58C2">
              <w:rPr>
                <w:b/>
                <w:sz w:val="18"/>
                <w:szCs w:val="18"/>
              </w:rPr>
              <w:t>; P127</w:t>
            </w:r>
            <w:r>
              <w:rPr>
                <w:b/>
                <w:sz w:val="18"/>
                <w:szCs w:val="18"/>
              </w:rPr>
              <w:t>)</w:t>
            </w:r>
          </w:p>
          <w:p w:rsidR="00373786" w:rsidRDefault="00B67A87">
            <w:pPr>
              <w:numPr>
                <w:ilvl w:val="0"/>
                <w:numId w:val="3"/>
              </w:numPr>
              <w:spacing w:after="0" w:line="240" w:lineRule="auto"/>
              <w:ind w:left="403" w:hanging="141"/>
              <w:rPr>
                <w:b/>
                <w:sz w:val="18"/>
                <w:szCs w:val="18"/>
              </w:rPr>
            </w:pPr>
            <w:r>
              <w:rPr>
                <w:sz w:val="18"/>
                <w:szCs w:val="18"/>
              </w:rPr>
              <w:t xml:space="preserve">Les mesures de tendance centrale </w:t>
            </w:r>
            <w:r>
              <w:rPr>
                <w:b/>
                <w:sz w:val="18"/>
                <w:szCs w:val="18"/>
              </w:rPr>
              <w:t xml:space="preserve"> (Vision 3.3</w:t>
            </w:r>
            <w:r w:rsidR="004F58C2">
              <w:rPr>
                <w:b/>
                <w:sz w:val="18"/>
                <w:szCs w:val="18"/>
              </w:rPr>
              <w:t>; P139</w:t>
            </w:r>
            <w:r>
              <w:rPr>
                <w:b/>
                <w:sz w:val="18"/>
                <w:szCs w:val="18"/>
              </w:rPr>
              <w:t>)</w:t>
            </w:r>
          </w:p>
          <w:p w:rsidR="00373786" w:rsidRDefault="00B67A87">
            <w:pPr>
              <w:numPr>
                <w:ilvl w:val="0"/>
                <w:numId w:val="3"/>
              </w:numPr>
              <w:spacing w:after="0" w:line="240" w:lineRule="auto"/>
              <w:ind w:left="403" w:hanging="141"/>
              <w:rPr>
                <w:sz w:val="18"/>
                <w:szCs w:val="18"/>
              </w:rPr>
            </w:pPr>
            <w:r>
              <w:rPr>
                <w:sz w:val="18"/>
                <w:szCs w:val="18"/>
              </w:rPr>
              <w:t xml:space="preserve">Les quartiles et les mesures de dispersion </w:t>
            </w:r>
            <w:r>
              <w:rPr>
                <w:b/>
                <w:sz w:val="18"/>
                <w:szCs w:val="18"/>
              </w:rPr>
              <w:t>(Vision 7.3</w:t>
            </w:r>
            <w:r w:rsidR="004F58C2">
              <w:rPr>
                <w:b/>
                <w:sz w:val="18"/>
                <w:szCs w:val="18"/>
              </w:rPr>
              <w:t>; P151</w:t>
            </w:r>
            <w:r>
              <w:rPr>
                <w:b/>
                <w:sz w:val="18"/>
                <w:szCs w:val="18"/>
              </w:rPr>
              <w:t>)</w:t>
            </w:r>
          </w:p>
        </w:tc>
        <w:tc>
          <w:tcPr>
            <w:tcW w:w="3820" w:type="dxa"/>
          </w:tcPr>
          <w:p w:rsidR="00373786" w:rsidRDefault="00373786">
            <w:pPr>
              <w:spacing w:after="0" w:line="240" w:lineRule="auto"/>
              <w:rPr>
                <w:b/>
                <w:sz w:val="18"/>
                <w:szCs w:val="18"/>
              </w:rPr>
            </w:pPr>
          </w:p>
          <w:p w:rsidR="00373786" w:rsidRDefault="00B67A87">
            <w:pPr>
              <w:spacing w:after="0" w:line="240" w:lineRule="auto"/>
              <w:rPr>
                <w:b/>
                <w:sz w:val="18"/>
                <w:szCs w:val="18"/>
                <w:u w:val="single"/>
              </w:rPr>
            </w:pPr>
            <w:r>
              <w:rPr>
                <w:b/>
                <w:sz w:val="18"/>
                <w:szCs w:val="18"/>
                <w:u w:val="single"/>
              </w:rPr>
              <w:t xml:space="preserve">Le volume et les solides semblables </w:t>
            </w:r>
            <w:r w:rsidR="001865DA">
              <w:rPr>
                <w:b/>
                <w:sz w:val="18"/>
                <w:szCs w:val="18"/>
                <w:u w:val="single"/>
              </w:rPr>
              <w:t>(Chap-6-Sommet; P257-287)</w:t>
            </w:r>
            <w:r w:rsidR="001865DA">
              <w:rPr>
                <w:i/>
                <w:sz w:val="18"/>
                <w:szCs w:val="18"/>
              </w:rPr>
              <w:t xml:space="preserve"> </w:t>
            </w:r>
            <w:r>
              <w:rPr>
                <w:b/>
                <w:sz w:val="18"/>
                <w:szCs w:val="18"/>
                <w:u w:val="single"/>
              </w:rPr>
              <w:t xml:space="preserve"> </w:t>
            </w:r>
          </w:p>
          <w:p w:rsidR="001865DA" w:rsidRDefault="001865DA">
            <w:pPr>
              <w:spacing w:after="0" w:line="240" w:lineRule="auto"/>
              <w:rPr>
                <w:b/>
                <w:sz w:val="18"/>
                <w:szCs w:val="18"/>
                <w:u w:val="single"/>
              </w:rPr>
            </w:pPr>
          </w:p>
          <w:p w:rsidR="00373786" w:rsidRDefault="00B67A87">
            <w:pPr>
              <w:numPr>
                <w:ilvl w:val="0"/>
                <w:numId w:val="3"/>
              </w:numPr>
              <w:spacing w:after="0" w:line="240" w:lineRule="auto"/>
              <w:ind w:left="416" w:hanging="142"/>
              <w:rPr>
                <w:sz w:val="18"/>
                <w:szCs w:val="18"/>
              </w:rPr>
            </w:pPr>
            <w:r>
              <w:rPr>
                <w:sz w:val="18"/>
                <w:szCs w:val="18"/>
              </w:rPr>
              <w:t xml:space="preserve">Le volume des solides </w:t>
            </w:r>
            <w:r>
              <w:rPr>
                <w:b/>
                <w:sz w:val="18"/>
                <w:szCs w:val="18"/>
              </w:rPr>
              <w:t>(Vision 5.</w:t>
            </w:r>
            <w:r w:rsidR="001865DA">
              <w:rPr>
                <w:b/>
                <w:sz w:val="18"/>
                <w:szCs w:val="18"/>
              </w:rPr>
              <w:t>1-5.2</w:t>
            </w:r>
            <w:r>
              <w:rPr>
                <w:b/>
                <w:sz w:val="18"/>
                <w:szCs w:val="18"/>
              </w:rPr>
              <w:t>-5.3</w:t>
            </w:r>
            <w:r w:rsidR="001865DA">
              <w:rPr>
                <w:b/>
                <w:sz w:val="18"/>
                <w:szCs w:val="18"/>
              </w:rPr>
              <w:t>; P6-36</w:t>
            </w:r>
            <w:r>
              <w:rPr>
                <w:b/>
                <w:sz w:val="18"/>
                <w:szCs w:val="18"/>
              </w:rPr>
              <w:t>)</w:t>
            </w:r>
          </w:p>
          <w:p w:rsidR="00373786" w:rsidRDefault="00B67A87">
            <w:pPr>
              <w:numPr>
                <w:ilvl w:val="0"/>
                <w:numId w:val="3"/>
              </w:numPr>
              <w:spacing w:after="0" w:line="240" w:lineRule="auto"/>
              <w:ind w:left="416" w:hanging="142"/>
              <w:rPr>
                <w:sz w:val="18"/>
                <w:szCs w:val="18"/>
              </w:rPr>
            </w:pPr>
            <w:r>
              <w:rPr>
                <w:sz w:val="18"/>
                <w:szCs w:val="18"/>
              </w:rPr>
              <w:t xml:space="preserve">Les solides semblables </w:t>
            </w:r>
            <w:r>
              <w:rPr>
                <w:b/>
                <w:sz w:val="18"/>
                <w:szCs w:val="18"/>
              </w:rPr>
              <w:t>(Vision 5.4</w:t>
            </w:r>
            <w:r w:rsidR="001865DA">
              <w:rPr>
                <w:b/>
                <w:sz w:val="18"/>
                <w:szCs w:val="18"/>
              </w:rPr>
              <w:t>; P37</w:t>
            </w:r>
            <w:r>
              <w:rPr>
                <w:b/>
                <w:sz w:val="18"/>
                <w:szCs w:val="18"/>
              </w:rPr>
              <w:t>)</w:t>
            </w:r>
          </w:p>
          <w:p w:rsidR="00373786" w:rsidRDefault="00373786">
            <w:pPr>
              <w:spacing w:after="0" w:line="240" w:lineRule="auto"/>
              <w:rPr>
                <w:sz w:val="18"/>
                <w:szCs w:val="18"/>
              </w:rPr>
            </w:pPr>
          </w:p>
          <w:p w:rsidR="00373786" w:rsidRDefault="00B67A87">
            <w:pPr>
              <w:spacing w:after="0" w:line="240" w:lineRule="auto"/>
              <w:rPr>
                <w:sz w:val="18"/>
                <w:szCs w:val="18"/>
                <w:u w:val="single"/>
              </w:rPr>
            </w:pPr>
            <w:r>
              <w:rPr>
                <w:b/>
                <w:sz w:val="18"/>
                <w:szCs w:val="18"/>
                <w:u w:val="single"/>
              </w:rPr>
              <w:t xml:space="preserve">Probabilité </w:t>
            </w:r>
            <w:r w:rsidR="003B4EA5">
              <w:rPr>
                <w:b/>
                <w:sz w:val="18"/>
                <w:szCs w:val="18"/>
                <w:u w:val="single"/>
              </w:rPr>
              <w:t>(Chap-8-Sommet; P341-363)</w:t>
            </w:r>
            <w:r w:rsidR="003B4EA5">
              <w:rPr>
                <w:i/>
                <w:sz w:val="18"/>
                <w:szCs w:val="18"/>
              </w:rPr>
              <w:t xml:space="preserve"> </w:t>
            </w:r>
            <w:r>
              <w:rPr>
                <w:b/>
                <w:sz w:val="18"/>
                <w:szCs w:val="18"/>
              </w:rPr>
              <w:t xml:space="preserve"> </w:t>
            </w:r>
          </w:p>
          <w:p w:rsidR="00373786" w:rsidRDefault="00B67A87">
            <w:pPr>
              <w:spacing w:after="0" w:line="240" w:lineRule="auto"/>
              <w:rPr>
                <w:b/>
                <w:sz w:val="18"/>
                <w:szCs w:val="18"/>
              </w:rPr>
            </w:pPr>
            <w:r>
              <w:rPr>
                <w:b/>
                <w:sz w:val="18"/>
                <w:szCs w:val="18"/>
              </w:rPr>
              <w:t>(Vision 8</w:t>
            </w:r>
            <w:r w:rsidR="003B4EA5">
              <w:rPr>
                <w:b/>
                <w:sz w:val="18"/>
                <w:szCs w:val="18"/>
              </w:rPr>
              <w:t>; P178-221</w:t>
            </w:r>
            <w:r>
              <w:rPr>
                <w:b/>
                <w:sz w:val="18"/>
                <w:szCs w:val="18"/>
              </w:rPr>
              <w:t>)</w:t>
            </w:r>
          </w:p>
          <w:p w:rsidR="00373786" w:rsidRDefault="00373786">
            <w:pPr>
              <w:spacing w:after="0" w:line="240" w:lineRule="auto"/>
              <w:rPr>
                <w:sz w:val="18"/>
                <w:szCs w:val="18"/>
              </w:rPr>
            </w:pPr>
          </w:p>
          <w:p w:rsidR="00373786" w:rsidRDefault="00B67A87">
            <w:pPr>
              <w:spacing w:after="0" w:line="240" w:lineRule="auto"/>
              <w:rPr>
                <w:sz w:val="18"/>
                <w:szCs w:val="18"/>
              </w:rPr>
            </w:pPr>
            <w:bookmarkStart w:id="1" w:name="_gjdgxs" w:colFirst="0" w:colLast="0"/>
            <w:bookmarkEnd w:id="1"/>
            <w:r>
              <w:rPr>
                <w:sz w:val="18"/>
                <w:szCs w:val="18"/>
              </w:rPr>
              <w:t>*Bloc algébrique / Enrichissement*</w:t>
            </w:r>
          </w:p>
          <w:p w:rsidR="00373786" w:rsidRDefault="00373786">
            <w:pPr>
              <w:spacing w:after="0" w:line="240" w:lineRule="auto"/>
              <w:rPr>
                <w:sz w:val="18"/>
                <w:szCs w:val="18"/>
              </w:rPr>
            </w:pPr>
          </w:p>
          <w:p w:rsidR="00373786" w:rsidRDefault="00B67A87">
            <w:pPr>
              <w:spacing w:after="0" w:line="240" w:lineRule="auto"/>
              <w:rPr>
                <w:b/>
                <w:i/>
                <w:sz w:val="18"/>
                <w:szCs w:val="18"/>
                <w:u w:val="single"/>
              </w:rPr>
            </w:pPr>
            <w:r>
              <w:rPr>
                <w:b/>
                <w:i/>
                <w:sz w:val="18"/>
                <w:szCs w:val="18"/>
                <w:u w:val="single"/>
              </w:rPr>
              <w:t>Révision (Chapitres 1 à 8)</w:t>
            </w:r>
          </w:p>
          <w:p w:rsidR="00373786" w:rsidRDefault="00373786">
            <w:pPr>
              <w:spacing w:after="0" w:line="240" w:lineRule="auto"/>
              <w:rPr>
                <w:b/>
                <w:i/>
                <w:sz w:val="18"/>
                <w:szCs w:val="18"/>
                <w:u w:val="single"/>
              </w:rPr>
            </w:pPr>
          </w:p>
        </w:tc>
      </w:tr>
    </w:tbl>
    <w:p w:rsidR="00373786" w:rsidRDefault="00373786">
      <w:pPr>
        <w:rPr>
          <w:sz w:val="18"/>
          <w:szCs w:val="18"/>
        </w:rPr>
      </w:pPr>
    </w:p>
    <w:tbl>
      <w:tblPr>
        <w:tblStyle w:val="a0"/>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7"/>
        <w:gridCol w:w="5449"/>
      </w:tblGrid>
      <w:tr w:rsidR="00373786">
        <w:tc>
          <w:tcPr>
            <w:tcW w:w="5567" w:type="dxa"/>
            <w:tcBorders>
              <w:right w:val="single" w:sz="24" w:space="0" w:color="000000"/>
            </w:tcBorders>
            <w:shd w:val="clear" w:color="auto" w:fill="BFBFBF"/>
          </w:tcPr>
          <w:p w:rsidR="00373786" w:rsidRDefault="00B67A87">
            <w:pPr>
              <w:spacing w:after="0" w:line="240" w:lineRule="auto"/>
              <w:jc w:val="center"/>
              <w:rPr>
                <w:b/>
                <w:sz w:val="24"/>
                <w:szCs w:val="24"/>
              </w:rPr>
            </w:pPr>
            <w:r>
              <w:rPr>
                <w:b/>
                <w:sz w:val="24"/>
                <w:szCs w:val="24"/>
              </w:rPr>
              <w:t xml:space="preserve">Matériel pédagogique </w:t>
            </w:r>
          </w:p>
          <w:p w:rsidR="00373786" w:rsidRDefault="00B67A87">
            <w:pPr>
              <w:spacing w:after="0" w:line="240" w:lineRule="auto"/>
              <w:jc w:val="center"/>
              <w:rPr>
                <w:sz w:val="24"/>
                <w:szCs w:val="24"/>
              </w:rPr>
            </w:pPr>
            <w:r>
              <w:rPr>
                <w:b/>
                <w:sz w:val="24"/>
                <w:szCs w:val="24"/>
              </w:rPr>
              <w:t>(volumes, notes, cahiers d’exercices, etc.)</w:t>
            </w:r>
          </w:p>
        </w:tc>
        <w:tc>
          <w:tcPr>
            <w:tcW w:w="5449" w:type="dxa"/>
            <w:tcBorders>
              <w:left w:val="single" w:sz="24" w:space="0" w:color="000000"/>
            </w:tcBorders>
            <w:shd w:val="clear" w:color="auto" w:fill="BFBFBF"/>
          </w:tcPr>
          <w:p w:rsidR="00373786" w:rsidRDefault="00B67A87">
            <w:pPr>
              <w:spacing w:after="0" w:line="240" w:lineRule="auto"/>
              <w:jc w:val="center"/>
              <w:rPr>
                <w:b/>
                <w:sz w:val="24"/>
                <w:szCs w:val="24"/>
              </w:rPr>
            </w:pPr>
            <w:r>
              <w:rPr>
                <w:b/>
                <w:sz w:val="24"/>
                <w:szCs w:val="24"/>
              </w:rPr>
              <w:t xml:space="preserve">Organisation, approches pédagogiques et </w:t>
            </w:r>
          </w:p>
          <w:p w:rsidR="00373786" w:rsidRDefault="00B67A87">
            <w:pPr>
              <w:spacing w:after="0" w:line="240" w:lineRule="auto"/>
              <w:jc w:val="center"/>
              <w:rPr>
                <w:sz w:val="24"/>
                <w:szCs w:val="24"/>
              </w:rPr>
            </w:pPr>
            <w:r>
              <w:rPr>
                <w:b/>
                <w:sz w:val="24"/>
                <w:szCs w:val="24"/>
              </w:rPr>
              <w:t>exigences particulières</w:t>
            </w:r>
          </w:p>
        </w:tc>
      </w:tr>
      <w:tr w:rsidR="00373786">
        <w:tc>
          <w:tcPr>
            <w:tcW w:w="5567" w:type="dxa"/>
            <w:tcBorders>
              <w:right w:val="single" w:sz="24" w:space="0" w:color="000000"/>
            </w:tcBorders>
            <w:vAlign w:val="center"/>
          </w:tcPr>
          <w:p w:rsidR="00373786" w:rsidRDefault="00373786">
            <w:pPr>
              <w:tabs>
                <w:tab w:val="left" w:pos="248"/>
              </w:tabs>
              <w:spacing w:after="0" w:line="240" w:lineRule="auto"/>
            </w:pPr>
          </w:p>
          <w:p w:rsidR="00373786" w:rsidRDefault="00B67A87">
            <w:pPr>
              <w:tabs>
                <w:tab w:val="left" w:pos="248"/>
              </w:tabs>
              <w:spacing w:after="0" w:line="240" w:lineRule="auto"/>
            </w:pPr>
            <w:r>
              <w:t>-</w:t>
            </w:r>
            <w:r>
              <w:tab/>
              <w:t xml:space="preserve">Manuels </w:t>
            </w:r>
            <w:r>
              <w:rPr>
                <w:i/>
              </w:rPr>
              <w:t>Vision</w:t>
            </w:r>
            <w:r>
              <w:t xml:space="preserve"> Mathématique Tomes 1 et 2</w:t>
            </w:r>
          </w:p>
          <w:p w:rsidR="00373786" w:rsidRDefault="00B67A87">
            <w:pPr>
              <w:tabs>
                <w:tab w:val="left" w:pos="248"/>
              </w:tabs>
              <w:spacing w:after="0" w:line="240" w:lineRule="auto"/>
            </w:pPr>
            <w:r>
              <w:t>-</w:t>
            </w:r>
            <w:r>
              <w:tab/>
              <w:t xml:space="preserve">Cahier d’apprentissage </w:t>
            </w:r>
            <w:r w:rsidRPr="0069557D">
              <w:rPr>
                <w:b/>
                <w:i/>
              </w:rPr>
              <w:t>Sommets</w:t>
            </w:r>
          </w:p>
          <w:p w:rsidR="00373786" w:rsidRDefault="00373786">
            <w:pPr>
              <w:tabs>
                <w:tab w:val="left" w:pos="248"/>
              </w:tabs>
              <w:spacing w:after="0" w:line="240" w:lineRule="auto"/>
            </w:pPr>
          </w:p>
        </w:tc>
        <w:tc>
          <w:tcPr>
            <w:tcW w:w="5449" w:type="dxa"/>
            <w:tcBorders>
              <w:left w:val="single" w:sz="24" w:space="0" w:color="000000"/>
            </w:tcBorders>
            <w:vAlign w:val="center"/>
          </w:tcPr>
          <w:p w:rsidR="00373786" w:rsidRDefault="00B67A87">
            <w:pPr>
              <w:spacing w:after="0" w:line="240" w:lineRule="auto"/>
            </w:pPr>
            <w:r>
              <w:t>Travail individuel, cours magistraux ainsi que des activités en classe</w:t>
            </w:r>
          </w:p>
        </w:tc>
      </w:tr>
      <w:tr w:rsidR="00373786">
        <w:tc>
          <w:tcPr>
            <w:tcW w:w="5567" w:type="dxa"/>
            <w:tcBorders>
              <w:right w:val="single" w:sz="24" w:space="0" w:color="000000"/>
            </w:tcBorders>
            <w:shd w:val="clear" w:color="auto" w:fill="BFBFBF"/>
            <w:vAlign w:val="center"/>
          </w:tcPr>
          <w:p w:rsidR="00373786" w:rsidRDefault="00B67A87">
            <w:pPr>
              <w:spacing w:after="0" w:line="240" w:lineRule="auto"/>
              <w:jc w:val="center"/>
              <w:rPr>
                <w:sz w:val="24"/>
                <w:szCs w:val="24"/>
              </w:rPr>
            </w:pPr>
            <w:r>
              <w:rPr>
                <w:b/>
                <w:sz w:val="24"/>
                <w:szCs w:val="24"/>
              </w:rPr>
              <w:t>Devoirs et leçons</w:t>
            </w:r>
          </w:p>
        </w:tc>
        <w:tc>
          <w:tcPr>
            <w:tcW w:w="5449" w:type="dxa"/>
            <w:tcBorders>
              <w:left w:val="single" w:sz="24" w:space="0" w:color="000000"/>
            </w:tcBorders>
            <w:shd w:val="clear" w:color="auto" w:fill="BFBFBF"/>
            <w:vAlign w:val="center"/>
          </w:tcPr>
          <w:p w:rsidR="00373786" w:rsidRDefault="00B67A87">
            <w:pPr>
              <w:spacing w:after="0" w:line="240" w:lineRule="auto"/>
              <w:jc w:val="center"/>
              <w:rPr>
                <w:sz w:val="24"/>
                <w:szCs w:val="24"/>
              </w:rPr>
            </w:pPr>
            <w:r>
              <w:rPr>
                <w:b/>
                <w:sz w:val="24"/>
                <w:szCs w:val="24"/>
              </w:rPr>
              <w:t>Récupération et enrichissement</w:t>
            </w:r>
          </w:p>
        </w:tc>
      </w:tr>
      <w:tr w:rsidR="00373786">
        <w:tc>
          <w:tcPr>
            <w:tcW w:w="5567" w:type="dxa"/>
            <w:tcBorders>
              <w:right w:val="single" w:sz="24" w:space="0" w:color="000000"/>
            </w:tcBorders>
            <w:shd w:val="clear" w:color="auto" w:fill="auto"/>
            <w:vAlign w:val="center"/>
          </w:tcPr>
          <w:p w:rsidR="00373786" w:rsidRDefault="00373786">
            <w:pPr>
              <w:spacing w:after="0" w:line="240" w:lineRule="auto"/>
            </w:pPr>
          </w:p>
          <w:p w:rsidR="00373786" w:rsidRDefault="00B67A87">
            <w:pPr>
              <w:spacing w:after="0" w:line="240" w:lineRule="auto"/>
            </w:pPr>
            <w:r>
              <w:t xml:space="preserve">- </w:t>
            </w:r>
            <w:r>
              <w:rPr>
                <w:b/>
              </w:rPr>
              <w:t>Devoir après chaque cours. (Si possible)</w:t>
            </w:r>
          </w:p>
          <w:p w:rsidR="00373786" w:rsidRDefault="00B67A87">
            <w:pPr>
              <w:spacing w:after="0" w:line="240" w:lineRule="auto"/>
            </w:pPr>
            <w:r>
              <w:t>- L’élève devrait réviser les notes de cours et les exercices faits après chaque cours.</w:t>
            </w:r>
          </w:p>
          <w:p w:rsidR="00373786" w:rsidRDefault="00B67A87">
            <w:pPr>
              <w:spacing w:after="0" w:line="240" w:lineRule="auto"/>
            </w:pPr>
            <w:r>
              <w:t xml:space="preserve">- L’élève </w:t>
            </w:r>
            <w:r>
              <w:rPr>
                <w:b/>
              </w:rPr>
              <w:t>doit obligatoirement montrer sa démarche de calculs.</w:t>
            </w:r>
          </w:p>
          <w:p w:rsidR="00373786" w:rsidRDefault="00373786">
            <w:pPr>
              <w:spacing w:after="0" w:line="240" w:lineRule="auto"/>
            </w:pPr>
          </w:p>
        </w:tc>
        <w:tc>
          <w:tcPr>
            <w:tcW w:w="5449" w:type="dxa"/>
            <w:tcBorders>
              <w:left w:val="single" w:sz="24" w:space="0" w:color="000000"/>
            </w:tcBorders>
            <w:shd w:val="clear" w:color="auto" w:fill="auto"/>
            <w:vAlign w:val="center"/>
          </w:tcPr>
          <w:p w:rsidR="00373786" w:rsidRDefault="00B67A87">
            <w:pPr>
              <w:spacing w:after="0" w:line="240" w:lineRule="auto"/>
            </w:pPr>
            <w:r>
              <w:t>À déterminer par chaque enseignant</w:t>
            </w:r>
          </w:p>
        </w:tc>
      </w:tr>
    </w:tbl>
    <w:p w:rsidR="00373786" w:rsidRDefault="00B67A87">
      <w:r>
        <w:br w:type="page"/>
      </w:r>
    </w:p>
    <w:tbl>
      <w:tblPr>
        <w:tblStyle w:val="a1"/>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8280"/>
      </w:tblGrid>
      <w:tr w:rsidR="00373786">
        <w:tc>
          <w:tcPr>
            <w:tcW w:w="11016" w:type="dxa"/>
            <w:gridSpan w:val="2"/>
            <w:shd w:val="clear" w:color="auto" w:fill="BFBFBF"/>
          </w:tcPr>
          <w:p w:rsidR="00373786" w:rsidRDefault="00B67A87">
            <w:pPr>
              <w:spacing w:after="0" w:line="240" w:lineRule="auto"/>
              <w:jc w:val="center"/>
              <w:rPr>
                <w:b/>
                <w:sz w:val="32"/>
                <w:szCs w:val="32"/>
              </w:rPr>
            </w:pPr>
            <w:r>
              <w:rPr>
                <w:b/>
                <w:sz w:val="32"/>
                <w:szCs w:val="32"/>
              </w:rPr>
              <w:lastRenderedPageBreak/>
              <w:t xml:space="preserve">Mathématique, </w:t>
            </w:r>
            <w:r>
              <w:rPr>
                <w:b/>
                <w:sz w:val="28"/>
                <w:szCs w:val="28"/>
              </w:rPr>
              <w:t>3</w:t>
            </w:r>
            <w:r>
              <w:rPr>
                <w:b/>
                <w:sz w:val="28"/>
                <w:szCs w:val="28"/>
                <w:vertAlign w:val="superscript"/>
              </w:rPr>
              <w:t>e</w:t>
            </w:r>
            <w:r>
              <w:rPr>
                <w:b/>
                <w:sz w:val="28"/>
                <w:szCs w:val="28"/>
              </w:rPr>
              <w:t xml:space="preserve"> </w:t>
            </w:r>
            <w:proofErr w:type="gramStart"/>
            <w:r>
              <w:rPr>
                <w:b/>
                <w:sz w:val="28"/>
                <w:szCs w:val="28"/>
              </w:rPr>
              <w:t>secondaire ,</w:t>
            </w:r>
            <w:proofErr w:type="gramEnd"/>
            <w:r>
              <w:rPr>
                <w:b/>
                <w:sz w:val="28"/>
                <w:szCs w:val="28"/>
              </w:rPr>
              <w:t xml:space="preserve"> 063306</w:t>
            </w:r>
          </w:p>
        </w:tc>
      </w:tr>
      <w:tr w:rsidR="00373786">
        <w:tc>
          <w:tcPr>
            <w:tcW w:w="11016" w:type="dxa"/>
            <w:gridSpan w:val="2"/>
            <w:shd w:val="clear" w:color="auto" w:fill="000000"/>
          </w:tcPr>
          <w:p w:rsidR="00373786" w:rsidRDefault="00B67A87">
            <w:pPr>
              <w:spacing w:after="0" w:line="240" w:lineRule="auto"/>
              <w:jc w:val="center"/>
              <w:rPr>
                <w:sz w:val="28"/>
                <w:szCs w:val="28"/>
              </w:rPr>
            </w:pPr>
            <w:r>
              <w:rPr>
                <w:sz w:val="28"/>
                <w:szCs w:val="28"/>
              </w:rPr>
              <w:t>Compétences développées par l’élève</w:t>
            </w:r>
          </w:p>
        </w:tc>
      </w:tr>
      <w:tr w:rsidR="00373786">
        <w:tc>
          <w:tcPr>
            <w:tcW w:w="2736" w:type="dxa"/>
            <w:shd w:val="clear" w:color="auto" w:fill="FFFFFF"/>
          </w:tcPr>
          <w:p w:rsidR="00373786" w:rsidRDefault="00B67A87">
            <w:pPr>
              <w:tabs>
                <w:tab w:val="left" w:pos="2002"/>
              </w:tabs>
              <w:spacing w:after="0" w:line="240" w:lineRule="auto"/>
              <w:jc w:val="center"/>
              <w:rPr>
                <w:b/>
                <w:sz w:val="20"/>
                <w:szCs w:val="20"/>
              </w:rPr>
            </w:pPr>
            <w:r>
              <w:rPr>
                <w:b/>
                <w:sz w:val="20"/>
                <w:szCs w:val="20"/>
              </w:rPr>
              <w:t>CD1</w:t>
            </w:r>
          </w:p>
          <w:p w:rsidR="00373786" w:rsidRDefault="00B67A87">
            <w:pPr>
              <w:spacing w:after="0" w:line="240" w:lineRule="auto"/>
              <w:jc w:val="center"/>
              <w:rPr>
                <w:b/>
                <w:sz w:val="20"/>
                <w:szCs w:val="20"/>
              </w:rPr>
            </w:pPr>
            <w:r>
              <w:rPr>
                <w:b/>
                <w:sz w:val="20"/>
                <w:szCs w:val="20"/>
              </w:rPr>
              <w:t>Résoudre une situation-problème (30 %)*</w:t>
            </w:r>
          </w:p>
          <w:p w:rsidR="00373786" w:rsidRDefault="00373786">
            <w:pPr>
              <w:tabs>
                <w:tab w:val="left" w:pos="2002"/>
              </w:tabs>
              <w:spacing w:after="0" w:line="240" w:lineRule="auto"/>
              <w:jc w:val="center"/>
              <w:rPr>
                <w:b/>
                <w:sz w:val="20"/>
                <w:szCs w:val="20"/>
              </w:rPr>
            </w:pPr>
          </w:p>
        </w:tc>
        <w:tc>
          <w:tcPr>
            <w:tcW w:w="8280" w:type="dxa"/>
            <w:shd w:val="clear" w:color="auto" w:fill="FFFFFF"/>
          </w:tcPr>
          <w:p w:rsidR="00373786" w:rsidRDefault="00B67A87">
            <w:pPr>
              <w:spacing w:after="0" w:line="240" w:lineRule="auto"/>
              <w:jc w:val="both"/>
              <w:rPr>
                <w:sz w:val="16"/>
                <w:szCs w:val="16"/>
              </w:rPr>
            </w:pPr>
            <w:r>
              <w:rPr>
                <w:sz w:val="16"/>
                <w:szCs w:val="16"/>
              </w:rPr>
              <w:t>L’élève met en place diverses stratégies mobilisant des savoirs tout en faisant appel à son discernement et à ses capacités à représenter la situation par un modèle mathématique approprié, à élaborer une solution et à communiquer sa solution à l’aide d’un langage mathématique rigoureux. Le développement de cette compétence au deuxième cycle s’appuie sur les acquis du premier cycle. L’élève est appelé à exercer son habileté à résoudre des situations-problèmes dans de nouveaux contextes, et les situations qui lui sont présentées sont plus élaborées. De nouvelles stratégies s’ajoutent à son répertoire et son aptitude à modéliser est davantage sollicitée.</w:t>
            </w:r>
          </w:p>
        </w:tc>
      </w:tr>
      <w:tr w:rsidR="00373786">
        <w:trPr>
          <w:trHeight w:val="1020"/>
        </w:trPr>
        <w:tc>
          <w:tcPr>
            <w:tcW w:w="2736" w:type="dxa"/>
          </w:tcPr>
          <w:p w:rsidR="00373786" w:rsidRDefault="00B67A87">
            <w:pPr>
              <w:tabs>
                <w:tab w:val="left" w:pos="2002"/>
              </w:tabs>
              <w:spacing w:after="0" w:line="240" w:lineRule="auto"/>
              <w:jc w:val="center"/>
              <w:rPr>
                <w:b/>
                <w:sz w:val="20"/>
                <w:szCs w:val="20"/>
              </w:rPr>
            </w:pPr>
            <w:r>
              <w:rPr>
                <w:b/>
                <w:sz w:val="20"/>
                <w:szCs w:val="20"/>
              </w:rPr>
              <w:t>CD2</w:t>
            </w:r>
          </w:p>
          <w:p w:rsidR="00373786" w:rsidRDefault="00B67A87">
            <w:pPr>
              <w:spacing w:after="0" w:line="240" w:lineRule="auto"/>
              <w:jc w:val="center"/>
              <w:rPr>
                <w:b/>
                <w:sz w:val="20"/>
                <w:szCs w:val="20"/>
              </w:rPr>
            </w:pPr>
            <w:r>
              <w:rPr>
                <w:b/>
                <w:sz w:val="20"/>
                <w:szCs w:val="20"/>
              </w:rPr>
              <w:t>Utiliser un raisonnement mathématique</w:t>
            </w:r>
          </w:p>
          <w:p w:rsidR="00373786" w:rsidRDefault="00B67A87">
            <w:pPr>
              <w:spacing w:after="0" w:line="240" w:lineRule="auto"/>
              <w:jc w:val="center"/>
              <w:rPr>
                <w:b/>
                <w:sz w:val="20"/>
                <w:szCs w:val="20"/>
              </w:rPr>
            </w:pPr>
            <w:r>
              <w:rPr>
                <w:b/>
                <w:sz w:val="20"/>
                <w:szCs w:val="20"/>
              </w:rPr>
              <w:t>(70 %)*</w:t>
            </w:r>
          </w:p>
        </w:tc>
        <w:tc>
          <w:tcPr>
            <w:tcW w:w="8280" w:type="dxa"/>
          </w:tcPr>
          <w:p w:rsidR="00373786" w:rsidRDefault="00B67A87">
            <w:pPr>
              <w:spacing w:after="0" w:line="240" w:lineRule="auto"/>
              <w:jc w:val="both"/>
              <w:rPr>
                <w:sz w:val="16"/>
                <w:szCs w:val="16"/>
              </w:rPr>
            </w:pPr>
            <w:r>
              <w:rPr>
                <w:sz w:val="16"/>
                <w:szCs w:val="16"/>
              </w:rPr>
              <w:t>L’élève résout des situations qui consistent à formuler des conjectures, à critiquer et à justifier une proposition en faisant appel à un ensemble organisé de savoirs mathématiques. De plus, il développera ses capacités à argumenter et à interpréter les situations en utilisant des termes mathématiques rigoureux et un langage courant (oral ou écrit) approprié.</w:t>
            </w:r>
          </w:p>
          <w:p w:rsidR="00373786" w:rsidRDefault="00373786">
            <w:pPr>
              <w:spacing w:after="0" w:line="240" w:lineRule="auto"/>
              <w:jc w:val="both"/>
              <w:rPr>
                <w:sz w:val="16"/>
                <w:szCs w:val="16"/>
              </w:rPr>
            </w:pPr>
          </w:p>
          <w:p w:rsidR="00373786" w:rsidRDefault="00B67A87">
            <w:pPr>
              <w:spacing w:after="0" w:line="240" w:lineRule="auto"/>
              <w:jc w:val="both"/>
              <w:rPr>
                <w:strike/>
                <w:sz w:val="16"/>
                <w:szCs w:val="16"/>
              </w:rPr>
            </w:pPr>
            <w:r>
              <w:rPr>
                <w:b/>
                <w:sz w:val="16"/>
                <w:szCs w:val="16"/>
              </w:rPr>
              <w:t>Note</w:t>
            </w:r>
            <w:r>
              <w:rPr>
                <w:sz w:val="16"/>
                <w:szCs w:val="16"/>
              </w:rPr>
              <w:t> : Le résultat lié à la vérification de l’acquisition des connaissances est pris en compte dans cette compétence.</w:t>
            </w:r>
          </w:p>
        </w:tc>
      </w:tr>
      <w:tr w:rsidR="00373786">
        <w:trPr>
          <w:trHeight w:val="1420"/>
        </w:trPr>
        <w:tc>
          <w:tcPr>
            <w:tcW w:w="11016" w:type="dxa"/>
            <w:gridSpan w:val="2"/>
            <w:shd w:val="clear" w:color="auto" w:fill="FFFFFF"/>
          </w:tcPr>
          <w:p w:rsidR="00373786" w:rsidRDefault="00B67A87">
            <w:pPr>
              <w:tabs>
                <w:tab w:val="left" w:pos="1191"/>
              </w:tabs>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Voici les champs mathématiques à l’étude et les principales connaissances que l’élève de la troisième année du secondaire (2</w:t>
            </w:r>
            <w:r>
              <w:rPr>
                <w:rFonts w:ascii="Arial Narrow" w:eastAsia="Arial Narrow" w:hAnsi="Arial Narrow" w:cs="Arial Narrow"/>
                <w:b/>
                <w:sz w:val="20"/>
                <w:szCs w:val="20"/>
                <w:vertAlign w:val="superscript"/>
              </w:rPr>
              <w:t>e</w:t>
            </w:r>
            <w:r>
              <w:rPr>
                <w:rFonts w:ascii="Arial Narrow" w:eastAsia="Arial Narrow" w:hAnsi="Arial Narrow" w:cs="Arial Narrow"/>
                <w:b/>
                <w:sz w:val="20"/>
                <w:szCs w:val="20"/>
              </w:rPr>
              <w:t xml:space="preserve"> cycle, 1</w:t>
            </w:r>
            <w:r>
              <w:rPr>
                <w:rFonts w:ascii="Arial Narrow" w:eastAsia="Arial Narrow" w:hAnsi="Arial Narrow" w:cs="Arial Narrow"/>
                <w:b/>
                <w:sz w:val="20"/>
                <w:szCs w:val="20"/>
                <w:vertAlign w:val="superscript"/>
              </w:rPr>
              <w:t>re</w:t>
            </w:r>
            <w:r>
              <w:rPr>
                <w:rFonts w:ascii="Arial Narrow" w:eastAsia="Arial Narrow" w:hAnsi="Arial Narrow" w:cs="Arial Narrow"/>
                <w:b/>
                <w:sz w:val="20"/>
                <w:szCs w:val="20"/>
              </w:rPr>
              <w:t xml:space="preserve"> année) </w:t>
            </w:r>
            <w:proofErr w:type="gramStart"/>
            <w:r>
              <w:rPr>
                <w:rFonts w:ascii="Arial Narrow" w:eastAsia="Arial Narrow" w:hAnsi="Arial Narrow" w:cs="Arial Narrow"/>
                <w:b/>
                <w:sz w:val="20"/>
                <w:szCs w:val="20"/>
              </w:rPr>
              <w:t>sera</w:t>
            </w:r>
            <w:proofErr w:type="gramEnd"/>
            <w:r>
              <w:rPr>
                <w:rFonts w:ascii="Arial Narrow" w:eastAsia="Arial Narrow" w:hAnsi="Arial Narrow" w:cs="Arial Narrow"/>
                <w:b/>
                <w:sz w:val="20"/>
                <w:szCs w:val="20"/>
              </w:rPr>
              <w:t xml:space="preserve"> amené à maîtriser et à mobiliser pour développer les trois compétences.</w:t>
            </w:r>
          </w:p>
          <w:p w:rsidR="00373786" w:rsidRDefault="00373786">
            <w:pPr>
              <w:tabs>
                <w:tab w:val="left" w:pos="1191"/>
              </w:tabs>
              <w:spacing w:after="0" w:line="240" w:lineRule="auto"/>
              <w:jc w:val="both"/>
              <w:rPr>
                <w:rFonts w:ascii="Arial Narrow" w:eastAsia="Arial Narrow" w:hAnsi="Arial Narrow" w:cs="Arial Narrow"/>
                <w:b/>
                <w:sz w:val="20"/>
                <w:szCs w:val="20"/>
              </w:rPr>
            </w:pPr>
          </w:p>
          <w:p w:rsidR="00373786" w:rsidRDefault="00B67A87">
            <w:pPr>
              <w:tabs>
                <w:tab w:val="left" w:pos="1191"/>
              </w:tabs>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Arithmétique :</w:t>
            </w:r>
            <w:r>
              <w:rPr>
                <w:rFonts w:ascii="Arial Narrow" w:eastAsia="Arial Narrow" w:hAnsi="Arial Narrow" w:cs="Arial Narrow"/>
                <w:sz w:val="20"/>
                <w:szCs w:val="20"/>
              </w:rPr>
              <w:t xml:space="preserve"> Distinguer les nombres rationnels des nombres irrationnels. Représenter et écrire des nombres en notation scientifique et exponentielle (exposants entiers et fractionnaires). Manipuler des expressions numériques comportant des entiers et des exposants fractionnaires. </w:t>
            </w:r>
          </w:p>
          <w:p w:rsidR="00373786" w:rsidRDefault="00B67A87">
            <w:pPr>
              <w:tabs>
                <w:tab w:val="left" w:pos="1191"/>
              </w:tabs>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rsidR="00373786" w:rsidRDefault="00B67A87">
            <w:pPr>
              <w:tabs>
                <w:tab w:val="left" w:pos="1191"/>
              </w:tabs>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Algèbre :</w:t>
            </w:r>
            <w:r>
              <w:rPr>
                <w:rFonts w:ascii="Arial Narrow" w:eastAsia="Arial Narrow" w:hAnsi="Arial Narrow" w:cs="Arial Narrow"/>
                <w:sz w:val="20"/>
                <w:szCs w:val="20"/>
              </w:rPr>
              <w:t xml:space="preserve"> Manipuler des expressions algébriques : développement et factorisation (division par un monôme, factorisation à l’aide de mises en évidences simples). Résoudre un système d’équations du premier degré à deux variables. Travailler la relation d’inégalité et les  liens entre les fonctions du premier degré ou rationnelles ainsi que les situations de proportionnalité (variation directe ou inverse). Modéliser des situations.</w:t>
            </w:r>
          </w:p>
          <w:p w:rsidR="00373786" w:rsidRDefault="00373786">
            <w:pPr>
              <w:tabs>
                <w:tab w:val="left" w:pos="1191"/>
              </w:tabs>
              <w:spacing w:after="0" w:line="240" w:lineRule="auto"/>
              <w:jc w:val="both"/>
              <w:rPr>
                <w:rFonts w:ascii="Arial Narrow" w:eastAsia="Arial Narrow" w:hAnsi="Arial Narrow" w:cs="Arial Narrow"/>
                <w:sz w:val="20"/>
                <w:szCs w:val="20"/>
              </w:rPr>
            </w:pPr>
          </w:p>
          <w:p w:rsidR="00373786" w:rsidRDefault="00B67A87">
            <w:pPr>
              <w:tabs>
                <w:tab w:val="left" w:pos="1191"/>
              </w:tabs>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Probabilités : </w:t>
            </w:r>
            <w:r>
              <w:rPr>
                <w:rFonts w:ascii="Arial Narrow" w:eastAsia="Arial Narrow" w:hAnsi="Arial Narrow" w:cs="Arial Narrow"/>
                <w:sz w:val="20"/>
                <w:szCs w:val="20"/>
              </w:rPr>
              <w:t xml:space="preserve">Différencier les variables discrètes et continues. Calculer la probabilité de situations faisant appel à des arrangements, des permutations ou des combinaisons. </w:t>
            </w:r>
          </w:p>
          <w:p w:rsidR="00373786" w:rsidRDefault="00B67A87">
            <w:pPr>
              <w:tabs>
                <w:tab w:val="left" w:pos="1191"/>
              </w:tabs>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Statistiques : </w:t>
            </w:r>
            <w:r>
              <w:rPr>
                <w:rFonts w:ascii="Arial Narrow" w:eastAsia="Arial Narrow" w:hAnsi="Arial Narrow" w:cs="Arial Narrow"/>
                <w:sz w:val="20"/>
                <w:szCs w:val="20"/>
              </w:rPr>
              <w:t xml:space="preserve">Utiliser des méthodes d’échantillonnage et des représentations graphiques (histogramme et diagramme de quartiles). Déterminer et interpréter des mesures de tendances centrales. Comparer des données expérimentales et théoriques (nuage de points). </w:t>
            </w:r>
          </w:p>
          <w:p w:rsidR="00373786" w:rsidRDefault="00373786">
            <w:pPr>
              <w:tabs>
                <w:tab w:val="left" w:pos="1191"/>
              </w:tabs>
              <w:spacing w:after="0" w:line="240" w:lineRule="auto"/>
              <w:jc w:val="both"/>
              <w:rPr>
                <w:rFonts w:ascii="Arial Narrow" w:eastAsia="Arial Narrow" w:hAnsi="Arial Narrow" w:cs="Arial Narrow"/>
                <w:b/>
                <w:sz w:val="20"/>
                <w:szCs w:val="20"/>
              </w:rPr>
            </w:pPr>
          </w:p>
          <w:p w:rsidR="00373786" w:rsidRDefault="00B67A87">
            <w:pPr>
              <w:tabs>
                <w:tab w:val="left" w:pos="1191"/>
              </w:tabs>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Géométrie : </w:t>
            </w:r>
            <w:r>
              <w:rPr>
                <w:rFonts w:ascii="Arial Narrow" w:eastAsia="Arial Narrow" w:hAnsi="Arial Narrow" w:cs="Arial Narrow"/>
                <w:sz w:val="20"/>
                <w:szCs w:val="20"/>
              </w:rPr>
              <w:t>Relation de Pythagore</w:t>
            </w:r>
            <w:r>
              <w:rPr>
                <w:rFonts w:ascii="Arial Narrow" w:eastAsia="Arial Narrow" w:hAnsi="Arial Narrow" w:cs="Arial Narrow"/>
                <w:b/>
                <w:sz w:val="20"/>
                <w:szCs w:val="20"/>
              </w:rPr>
              <w:t>.</w:t>
            </w:r>
            <w:r>
              <w:rPr>
                <w:rFonts w:ascii="Arial Narrow" w:eastAsia="Arial Narrow" w:hAnsi="Arial Narrow" w:cs="Arial Narrow"/>
                <w:sz w:val="20"/>
                <w:szCs w:val="20"/>
              </w:rPr>
              <w:t xml:space="preserve"> Solides : représentation dans le plan, calcul du volume (unités de mesure), calcul de mesures manquantes. Figures semblables : recherche de mesures.   </w:t>
            </w:r>
          </w:p>
        </w:tc>
      </w:tr>
    </w:tbl>
    <w:p w:rsidR="00373786" w:rsidRDefault="00373786">
      <w:pPr>
        <w:rPr>
          <w:b/>
          <w:sz w:val="8"/>
          <w:szCs w:val="8"/>
        </w:rPr>
      </w:pPr>
    </w:p>
    <w:tbl>
      <w:tblPr>
        <w:tblStyle w:val="a2"/>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1243"/>
        <w:gridCol w:w="2150"/>
        <w:gridCol w:w="1240"/>
        <w:gridCol w:w="2432"/>
        <w:gridCol w:w="989"/>
        <w:gridCol w:w="844"/>
      </w:tblGrid>
      <w:tr w:rsidR="00373786">
        <w:trPr>
          <w:trHeight w:val="400"/>
        </w:trPr>
        <w:tc>
          <w:tcPr>
            <w:tcW w:w="11016" w:type="dxa"/>
            <w:gridSpan w:val="7"/>
            <w:shd w:val="clear" w:color="auto" w:fill="000000"/>
          </w:tcPr>
          <w:p w:rsidR="00373786" w:rsidRDefault="00B67A87">
            <w:pPr>
              <w:tabs>
                <w:tab w:val="left" w:pos="2002"/>
              </w:tabs>
              <w:spacing w:after="0" w:line="240" w:lineRule="auto"/>
              <w:jc w:val="center"/>
              <w:rPr>
                <w:sz w:val="28"/>
                <w:szCs w:val="28"/>
              </w:rPr>
            </w:pPr>
            <w:r>
              <w:rPr>
                <w:sz w:val="28"/>
                <w:szCs w:val="28"/>
              </w:rPr>
              <w:t>Principales évaluations et résultats inscrits au bulletin</w:t>
            </w:r>
          </w:p>
        </w:tc>
      </w:tr>
      <w:tr w:rsidR="00373786">
        <w:trPr>
          <w:trHeight w:val="540"/>
        </w:trPr>
        <w:tc>
          <w:tcPr>
            <w:tcW w:w="3361" w:type="dxa"/>
            <w:gridSpan w:val="2"/>
          </w:tcPr>
          <w:p w:rsidR="00373786" w:rsidRDefault="00B67A87">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(20 %)</w:t>
            </w:r>
          </w:p>
          <w:p w:rsidR="00373786" w:rsidRDefault="00B67A87" w:rsidP="0069557D">
            <w:pPr>
              <w:spacing w:after="0" w:line="240" w:lineRule="auto"/>
              <w:jc w:val="center"/>
              <w:rPr>
                <w:sz w:val="20"/>
                <w:szCs w:val="20"/>
              </w:rPr>
            </w:pPr>
            <w:r>
              <w:rPr>
                <w:b/>
                <w:sz w:val="20"/>
                <w:szCs w:val="20"/>
              </w:rPr>
              <w:t>Du 3</w:t>
            </w:r>
            <w:r w:rsidR="00870639">
              <w:rPr>
                <w:b/>
                <w:sz w:val="20"/>
                <w:szCs w:val="20"/>
              </w:rPr>
              <w:t>1</w:t>
            </w:r>
            <w:r>
              <w:rPr>
                <w:b/>
                <w:sz w:val="20"/>
                <w:szCs w:val="20"/>
              </w:rPr>
              <w:t xml:space="preserve"> Août au </w:t>
            </w:r>
            <w:r w:rsidR="00870639">
              <w:rPr>
                <w:b/>
                <w:sz w:val="20"/>
                <w:szCs w:val="20"/>
              </w:rPr>
              <w:t>5</w:t>
            </w:r>
            <w:r w:rsidR="005E463D">
              <w:rPr>
                <w:b/>
                <w:sz w:val="20"/>
                <w:szCs w:val="20"/>
              </w:rPr>
              <w:t xml:space="preserve"> novembre 2020</w:t>
            </w:r>
          </w:p>
        </w:tc>
        <w:tc>
          <w:tcPr>
            <w:tcW w:w="3390" w:type="dxa"/>
            <w:gridSpan w:val="2"/>
          </w:tcPr>
          <w:p w:rsidR="00373786" w:rsidRDefault="00B67A87">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(20 %)</w:t>
            </w:r>
          </w:p>
          <w:p w:rsidR="00373786" w:rsidRDefault="00B67A87" w:rsidP="0069557D">
            <w:pPr>
              <w:spacing w:after="0" w:line="240" w:lineRule="auto"/>
              <w:jc w:val="center"/>
              <w:rPr>
                <w:sz w:val="20"/>
                <w:szCs w:val="20"/>
              </w:rPr>
            </w:pPr>
            <w:r>
              <w:rPr>
                <w:b/>
                <w:sz w:val="20"/>
                <w:szCs w:val="20"/>
              </w:rPr>
              <w:t xml:space="preserve">Du </w:t>
            </w:r>
            <w:r w:rsidR="0069557D">
              <w:rPr>
                <w:b/>
                <w:sz w:val="20"/>
                <w:szCs w:val="20"/>
              </w:rPr>
              <w:t>5</w:t>
            </w:r>
            <w:r>
              <w:rPr>
                <w:b/>
                <w:sz w:val="20"/>
                <w:szCs w:val="20"/>
              </w:rPr>
              <w:t xml:space="preserve"> novembre au </w:t>
            </w:r>
            <w:r w:rsidR="00870639">
              <w:rPr>
                <w:b/>
                <w:sz w:val="20"/>
                <w:szCs w:val="20"/>
              </w:rPr>
              <w:t>2</w:t>
            </w:r>
            <w:r>
              <w:rPr>
                <w:b/>
                <w:sz w:val="20"/>
                <w:szCs w:val="20"/>
              </w:rPr>
              <w:t xml:space="preserve"> Février 20</w:t>
            </w:r>
            <w:r w:rsidR="005E463D">
              <w:rPr>
                <w:b/>
                <w:sz w:val="20"/>
                <w:szCs w:val="20"/>
              </w:rPr>
              <w:t>21</w:t>
            </w:r>
          </w:p>
        </w:tc>
        <w:tc>
          <w:tcPr>
            <w:tcW w:w="4265" w:type="dxa"/>
            <w:gridSpan w:val="3"/>
          </w:tcPr>
          <w:p w:rsidR="00373786" w:rsidRDefault="00B67A87">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rsidR="00373786" w:rsidRDefault="00B67A87" w:rsidP="0069557D">
            <w:pPr>
              <w:spacing w:after="0" w:line="240" w:lineRule="auto"/>
              <w:jc w:val="center"/>
              <w:rPr>
                <w:sz w:val="20"/>
                <w:szCs w:val="20"/>
              </w:rPr>
            </w:pPr>
            <w:r>
              <w:rPr>
                <w:b/>
                <w:sz w:val="20"/>
                <w:szCs w:val="20"/>
              </w:rPr>
              <w:t xml:space="preserve">Du </w:t>
            </w:r>
            <w:r w:rsidR="00870639">
              <w:rPr>
                <w:b/>
                <w:sz w:val="20"/>
                <w:szCs w:val="20"/>
              </w:rPr>
              <w:t>3</w:t>
            </w:r>
            <w:r>
              <w:rPr>
                <w:b/>
                <w:sz w:val="20"/>
                <w:szCs w:val="20"/>
              </w:rPr>
              <w:t xml:space="preserve"> février au 2</w:t>
            </w:r>
            <w:r w:rsidR="00870639">
              <w:rPr>
                <w:b/>
                <w:sz w:val="20"/>
                <w:szCs w:val="20"/>
              </w:rPr>
              <w:t>1</w:t>
            </w:r>
            <w:r>
              <w:rPr>
                <w:b/>
                <w:sz w:val="20"/>
                <w:szCs w:val="20"/>
              </w:rPr>
              <w:t xml:space="preserve"> juin 20</w:t>
            </w:r>
            <w:r w:rsidR="005E463D">
              <w:rPr>
                <w:b/>
                <w:sz w:val="20"/>
                <w:szCs w:val="20"/>
              </w:rPr>
              <w:t>21</w:t>
            </w:r>
          </w:p>
        </w:tc>
      </w:tr>
      <w:tr w:rsidR="00373786">
        <w:trPr>
          <w:trHeight w:val="580"/>
        </w:trPr>
        <w:tc>
          <w:tcPr>
            <w:tcW w:w="2118" w:type="dxa"/>
          </w:tcPr>
          <w:p w:rsidR="00373786" w:rsidRDefault="00B67A87">
            <w:pPr>
              <w:tabs>
                <w:tab w:val="left" w:pos="2002"/>
              </w:tabs>
              <w:spacing w:after="0" w:line="240" w:lineRule="auto"/>
              <w:jc w:val="center"/>
              <w:rPr>
                <w:b/>
                <w:sz w:val="16"/>
                <w:szCs w:val="16"/>
              </w:rPr>
            </w:pPr>
            <w:r>
              <w:rPr>
                <w:b/>
                <w:sz w:val="16"/>
                <w:szCs w:val="16"/>
              </w:rPr>
              <w:t>Nature des évaluations proposées tout au long de l’étape</w:t>
            </w:r>
          </w:p>
        </w:tc>
        <w:tc>
          <w:tcPr>
            <w:tcW w:w="1243" w:type="dxa"/>
          </w:tcPr>
          <w:p w:rsidR="00373786" w:rsidRDefault="00B67A87">
            <w:pPr>
              <w:tabs>
                <w:tab w:val="left" w:pos="2002"/>
              </w:tabs>
              <w:spacing w:after="0" w:line="240" w:lineRule="auto"/>
              <w:jc w:val="center"/>
              <w:rPr>
                <w:b/>
                <w:sz w:val="16"/>
                <w:szCs w:val="16"/>
              </w:rPr>
            </w:pPr>
            <w:r>
              <w:rPr>
                <w:b/>
                <w:sz w:val="16"/>
                <w:szCs w:val="16"/>
              </w:rPr>
              <w:t>Y aurait-il un résultat inscrit au bulletin?</w:t>
            </w:r>
          </w:p>
        </w:tc>
        <w:tc>
          <w:tcPr>
            <w:tcW w:w="2150" w:type="dxa"/>
          </w:tcPr>
          <w:p w:rsidR="00373786" w:rsidRDefault="00B67A87">
            <w:pPr>
              <w:tabs>
                <w:tab w:val="left" w:pos="2002"/>
              </w:tabs>
              <w:spacing w:after="0" w:line="240" w:lineRule="auto"/>
              <w:jc w:val="center"/>
              <w:rPr>
                <w:b/>
                <w:sz w:val="16"/>
                <w:szCs w:val="16"/>
              </w:rPr>
            </w:pPr>
            <w:r>
              <w:rPr>
                <w:b/>
                <w:sz w:val="16"/>
                <w:szCs w:val="16"/>
              </w:rPr>
              <w:t>Nature des évaluations proposées tout au long de l’étape</w:t>
            </w:r>
          </w:p>
        </w:tc>
        <w:tc>
          <w:tcPr>
            <w:tcW w:w="1240" w:type="dxa"/>
          </w:tcPr>
          <w:p w:rsidR="00373786" w:rsidRDefault="00B67A87">
            <w:pPr>
              <w:tabs>
                <w:tab w:val="left" w:pos="2002"/>
              </w:tabs>
              <w:spacing w:after="0" w:line="240" w:lineRule="auto"/>
              <w:jc w:val="center"/>
              <w:rPr>
                <w:b/>
                <w:sz w:val="16"/>
                <w:szCs w:val="16"/>
              </w:rPr>
            </w:pPr>
            <w:r>
              <w:rPr>
                <w:b/>
                <w:sz w:val="16"/>
                <w:szCs w:val="16"/>
              </w:rPr>
              <w:t>Y aurait-il un résultat inscrit au bulletin?</w:t>
            </w:r>
          </w:p>
        </w:tc>
        <w:tc>
          <w:tcPr>
            <w:tcW w:w="2432" w:type="dxa"/>
          </w:tcPr>
          <w:p w:rsidR="00373786" w:rsidRDefault="00B67A87">
            <w:pPr>
              <w:tabs>
                <w:tab w:val="left" w:pos="2002"/>
              </w:tabs>
              <w:spacing w:after="0" w:line="240" w:lineRule="auto"/>
              <w:jc w:val="center"/>
              <w:rPr>
                <w:b/>
                <w:sz w:val="16"/>
                <w:szCs w:val="16"/>
              </w:rPr>
            </w:pPr>
            <w:r>
              <w:rPr>
                <w:b/>
                <w:sz w:val="16"/>
                <w:szCs w:val="16"/>
              </w:rPr>
              <w:t>Nature des évaluations proposées tout au long de l’étape</w:t>
            </w:r>
          </w:p>
        </w:tc>
        <w:tc>
          <w:tcPr>
            <w:tcW w:w="989" w:type="dxa"/>
            <w:tcBorders>
              <w:bottom w:val="single" w:sz="4" w:space="0" w:color="000000"/>
            </w:tcBorders>
          </w:tcPr>
          <w:p w:rsidR="00373786" w:rsidRDefault="00B67A87">
            <w:pPr>
              <w:tabs>
                <w:tab w:val="left" w:pos="2002"/>
              </w:tabs>
              <w:spacing w:after="0" w:line="240" w:lineRule="auto"/>
              <w:jc w:val="center"/>
              <w:rPr>
                <w:b/>
                <w:sz w:val="14"/>
                <w:szCs w:val="14"/>
              </w:rPr>
            </w:pPr>
            <w:r>
              <w:rPr>
                <w:b/>
                <w:sz w:val="14"/>
                <w:szCs w:val="14"/>
              </w:rPr>
              <w:t xml:space="preserve">Épreuves obligatoires </w:t>
            </w:r>
          </w:p>
          <w:p w:rsidR="00373786" w:rsidRDefault="00B67A87">
            <w:pPr>
              <w:tabs>
                <w:tab w:val="left" w:pos="2002"/>
              </w:tabs>
              <w:spacing w:after="0" w:line="240" w:lineRule="auto"/>
              <w:jc w:val="center"/>
              <w:rPr>
                <w:b/>
                <w:sz w:val="16"/>
                <w:szCs w:val="16"/>
              </w:rPr>
            </w:pPr>
            <w:r>
              <w:rPr>
                <w:b/>
                <w:sz w:val="14"/>
                <w:szCs w:val="14"/>
              </w:rPr>
              <w:t>MELS / CS</w:t>
            </w:r>
          </w:p>
        </w:tc>
        <w:tc>
          <w:tcPr>
            <w:tcW w:w="844" w:type="dxa"/>
          </w:tcPr>
          <w:p w:rsidR="00373786" w:rsidRDefault="00B67A87">
            <w:pPr>
              <w:tabs>
                <w:tab w:val="left" w:pos="2002"/>
              </w:tabs>
              <w:spacing w:after="0" w:line="240" w:lineRule="auto"/>
              <w:jc w:val="center"/>
              <w:rPr>
                <w:b/>
                <w:sz w:val="16"/>
                <w:szCs w:val="16"/>
              </w:rPr>
            </w:pPr>
            <w:r>
              <w:rPr>
                <w:b/>
                <w:sz w:val="16"/>
                <w:szCs w:val="16"/>
              </w:rPr>
              <w:t>Résultat inscrit au bulletin</w:t>
            </w:r>
          </w:p>
        </w:tc>
      </w:tr>
      <w:tr w:rsidR="00373786">
        <w:trPr>
          <w:trHeight w:val="2280"/>
        </w:trPr>
        <w:tc>
          <w:tcPr>
            <w:tcW w:w="2118" w:type="dxa"/>
            <w:tcBorders>
              <w:top w:val="single" w:sz="4" w:space="0" w:color="000000"/>
              <w:bottom w:val="single" w:sz="4" w:space="0" w:color="000000"/>
            </w:tcBorders>
          </w:tcPr>
          <w:p w:rsidR="00373786" w:rsidRDefault="00B67A87">
            <w:pPr>
              <w:spacing w:after="0" w:line="240" w:lineRule="auto"/>
              <w:rPr>
                <w:b/>
                <w:sz w:val="16"/>
                <w:szCs w:val="16"/>
              </w:rPr>
            </w:pPr>
            <w:r>
              <w:rPr>
                <w:b/>
                <w:sz w:val="16"/>
                <w:szCs w:val="16"/>
              </w:rPr>
              <w:t>Utiliser un raisonnement mathématique : (CD2)</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Situations d’apprentissage et d’évaluation</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Activités de manipulation</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 xml:space="preserve">Exercices variés </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Tests de connaissances</w:t>
            </w:r>
          </w:p>
        </w:tc>
        <w:tc>
          <w:tcPr>
            <w:tcW w:w="1243" w:type="dxa"/>
            <w:tcBorders>
              <w:top w:val="single" w:sz="4" w:space="0" w:color="000000"/>
              <w:bottom w:val="single" w:sz="4" w:space="0" w:color="000000"/>
            </w:tcBorders>
          </w:tcPr>
          <w:p w:rsidR="00373786" w:rsidRDefault="00373786">
            <w:pPr>
              <w:tabs>
                <w:tab w:val="left" w:pos="2002"/>
              </w:tabs>
              <w:spacing w:after="0" w:line="240" w:lineRule="auto"/>
              <w:jc w:val="center"/>
              <w:rPr>
                <w:b/>
                <w:sz w:val="24"/>
                <w:szCs w:val="24"/>
              </w:rPr>
            </w:pPr>
          </w:p>
          <w:p w:rsidR="00373786" w:rsidRDefault="00B67A87">
            <w:pPr>
              <w:tabs>
                <w:tab w:val="left" w:pos="2002"/>
              </w:tabs>
              <w:spacing w:after="0" w:line="240" w:lineRule="auto"/>
              <w:jc w:val="center"/>
              <w:rPr>
                <w:b/>
                <w:sz w:val="24"/>
                <w:szCs w:val="24"/>
              </w:rPr>
            </w:pPr>
            <w:r>
              <w:rPr>
                <w:b/>
                <w:sz w:val="24"/>
                <w:szCs w:val="24"/>
              </w:rPr>
              <w:t>Oui</w:t>
            </w:r>
          </w:p>
        </w:tc>
        <w:tc>
          <w:tcPr>
            <w:tcW w:w="2150" w:type="dxa"/>
            <w:tcBorders>
              <w:bottom w:val="single" w:sz="4" w:space="0" w:color="000000"/>
            </w:tcBorders>
          </w:tcPr>
          <w:p w:rsidR="00373786" w:rsidRDefault="00B67A87">
            <w:pPr>
              <w:spacing w:after="0" w:line="240" w:lineRule="auto"/>
              <w:rPr>
                <w:b/>
                <w:sz w:val="16"/>
                <w:szCs w:val="16"/>
              </w:rPr>
            </w:pPr>
            <w:r>
              <w:rPr>
                <w:b/>
                <w:sz w:val="16"/>
                <w:szCs w:val="16"/>
              </w:rPr>
              <w:t>Utiliser un raisonnement mathématique :</w:t>
            </w:r>
          </w:p>
          <w:p w:rsidR="00373786" w:rsidRDefault="00373786">
            <w:pPr>
              <w:spacing w:after="0" w:line="240" w:lineRule="auto"/>
              <w:rPr>
                <w:sz w:val="16"/>
                <w:szCs w:val="16"/>
              </w:rPr>
            </w:pPr>
          </w:p>
          <w:p w:rsidR="00373786" w:rsidRDefault="00373786">
            <w:pPr>
              <w:pBdr>
                <w:top w:val="nil"/>
                <w:left w:val="nil"/>
                <w:bottom w:val="nil"/>
                <w:right w:val="nil"/>
                <w:between w:val="nil"/>
              </w:pBdr>
              <w:spacing w:after="0" w:line="240" w:lineRule="auto"/>
              <w:ind w:left="360" w:hanging="720"/>
              <w:rPr>
                <w:color w:val="000000"/>
                <w:sz w:val="16"/>
                <w:szCs w:val="16"/>
              </w:rPr>
            </w:pPr>
          </w:p>
          <w:p w:rsidR="00373786" w:rsidRDefault="00373786">
            <w:pPr>
              <w:spacing w:after="0" w:line="240" w:lineRule="auto"/>
              <w:rPr>
                <w:i/>
                <w:sz w:val="16"/>
                <w:szCs w:val="16"/>
              </w:rPr>
            </w:pPr>
          </w:p>
        </w:tc>
        <w:tc>
          <w:tcPr>
            <w:tcW w:w="1240" w:type="dxa"/>
            <w:tcBorders>
              <w:top w:val="single" w:sz="4" w:space="0" w:color="000000"/>
              <w:bottom w:val="single" w:sz="4" w:space="0" w:color="000000"/>
            </w:tcBorders>
          </w:tcPr>
          <w:p w:rsidR="00373786" w:rsidRDefault="00373786">
            <w:pPr>
              <w:tabs>
                <w:tab w:val="left" w:pos="2002"/>
              </w:tabs>
              <w:spacing w:after="0" w:line="240" w:lineRule="auto"/>
              <w:rPr>
                <w:b/>
                <w:sz w:val="24"/>
                <w:szCs w:val="24"/>
              </w:rPr>
            </w:pPr>
          </w:p>
          <w:p w:rsidR="00373786" w:rsidRDefault="00B67A87">
            <w:pPr>
              <w:tabs>
                <w:tab w:val="left" w:pos="2002"/>
              </w:tabs>
              <w:spacing w:after="0" w:line="240" w:lineRule="auto"/>
              <w:jc w:val="center"/>
              <w:rPr>
                <w:b/>
                <w:sz w:val="24"/>
                <w:szCs w:val="24"/>
              </w:rPr>
            </w:pPr>
            <w:r>
              <w:rPr>
                <w:b/>
                <w:sz w:val="24"/>
                <w:szCs w:val="24"/>
              </w:rPr>
              <w:t>Oui</w:t>
            </w:r>
          </w:p>
        </w:tc>
        <w:tc>
          <w:tcPr>
            <w:tcW w:w="2432" w:type="dxa"/>
            <w:tcBorders>
              <w:top w:val="single" w:sz="4" w:space="0" w:color="000000"/>
              <w:bottom w:val="single" w:sz="4" w:space="0" w:color="000000"/>
              <w:right w:val="single" w:sz="4" w:space="0" w:color="000000"/>
            </w:tcBorders>
          </w:tcPr>
          <w:p w:rsidR="00373786" w:rsidRDefault="00B67A87">
            <w:pPr>
              <w:spacing w:after="0" w:line="240" w:lineRule="auto"/>
              <w:rPr>
                <w:b/>
                <w:sz w:val="16"/>
                <w:szCs w:val="16"/>
              </w:rPr>
            </w:pPr>
            <w:r>
              <w:rPr>
                <w:b/>
                <w:sz w:val="16"/>
                <w:szCs w:val="16"/>
              </w:rPr>
              <w:t>Utiliser un raisonnement mathématique :</w:t>
            </w:r>
          </w:p>
          <w:p w:rsidR="00373786" w:rsidRDefault="00373786">
            <w:pPr>
              <w:spacing w:after="0" w:line="240" w:lineRule="auto"/>
              <w:rPr>
                <w:sz w:val="16"/>
                <w:szCs w:val="16"/>
              </w:rPr>
            </w:pPr>
          </w:p>
          <w:p w:rsidR="00373786" w:rsidRDefault="00373786">
            <w:pPr>
              <w:pBdr>
                <w:top w:val="nil"/>
                <w:left w:val="nil"/>
                <w:bottom w:val="nil"/>
                <w:right w:val="nil"/>
                <w:between w:val="nil"/>
              </w:pBdr>
              <w:spacing w:after="0" w:line="240" w:lineRule="auto"/>
              <w:ind w:left="360" w:hanging="720"/>
              <w:rPr>
                <w:color w:val="000000"/>
                <w:sz w:val="16"/>
                <w:szCs w:val="16"/>
              </w:rPr>
            </w:pPr>
          </w:p>
          <w:p w:rsidR="00373786" w:rsidRDefault="00373786">
            <w:pPr>
              <w:spacing w:after="0" w:line="240" w:lineRule="auto"/>
              <w:rPr>
                <w:i/>
                <w:sz w:val="16"/>
                <w:szCs w:val="16"/>
              </w:rPr>
            </w:pPr>
          </w:p>
        </w:tc>
        <w:tc>
          <w:tcPr>
            <w:tcW w:w="989" w:type="dxa"/>
            <w:tcBorders>
              <w:top w:val="single" w:sz="4" w:space="0" w:color="000000"/>
              <w:left w:val="single" w:sz="4" w:space="0" w:color="000000"/>
              <w:bottom w:val="single" w:sz="4" w:space="0" w:color="000000"/>
            </w:tcBorders>
          </w:tcPr>
          <w:p w:rsidR="00373786" w:rsidRDefault="00373786">
            <w:pPr>
              <w:spacing w:after="0" w:line="240" w:lineRule="auto"/>
              <w:rPr>
                <w:b/>
                <w:sz w:val="24"/>
                <w:szCs w:val="24"/>
              </w:rPr>
            </w:pPr>
          </w:p>
          <w:p w:rsidR="00373786" w:rsidRDefault="00B67A87">
            <w:pPr>
              <w:spacing w:after="0" w:line="240" w:lineRule="auto"/>
              <w:jc w:val="center"/>
              <w:rPr>
                <w:b/>
                <w:sz w:val="24"/>
                <w:szCs w:val="24"/>
              </w:rPr>
            </w:pPr>
            <w:r>
              <w:rPr>
                <w:b/>
                <w:sz w:val="24"/>
                <w:szCs w:val="24"/>
              </w:rPr>
              <w:t>Oui</w:t>
            </w:r>
          </w:p>
          <w:p w:rsidR="00373786" w:rsidRDefault="00B67A87">
            <w:pPr>
              <w:spacing w:after="0" w:line="240" w:lineRule="auto"/>
              <w:jc w:val="center"/>
              <w:rPr>
                <w:b/>
                <w:sz w:val="16"/>
                <w:szCs w:val="16"/>
              </w:rPr>
            </w:pPr>
            <w:r>
              <w:rPr>
                <w:b/>
                <w:sz w:val="16"/>
                <w:szCs w:val="16"/>
              </w:rPr>
              <w:t>CS</w:t>
            </w:r>
          </w:p>
          <w:p w:rsidR="00373786" w:rsidRDefault="00B67A87">
            <w:pPr>
              <w:spacing w:after="0" w:line="240" w:lineRule="auto"/>
              <w:jc w:val="center"/>
              <w:rPr>
                <w:b/>
                <w:sz w:val="24"/>
                <w:szCs w:val="24"/>
              </w:rPr>
            </w:pPr>
            <w:r>
              <w:rPr>
                <w:b/>
                <w:sz w:val="16"/>
                <w:szCs w:val="16"/>
              </w:rPr>
              <w:t>(40 % de la 3</w:t>
            </w:r>
            <w:r>
              <w:rPr>
                <w:b/>
                <w:sz w:val="16"/>
                <w:szCs w:val="16"/>
                <w:vertAlign w:val="superscript"/>
              </w:rPr>
              <w:t>e</w:t>
            </w:r>
            <w:r>
              <w:rPr>
                <w:b/>
                <w:sz w:val="16"/>
                <w:szCs w:val="16"/>
              </w:rPr>
              <w:t xml:space="preserve"> étape)</w:t>
            </w:r>
          </w:p>
        </w:tc>
        <w:tc>
          <w:tcPr>
            <w:tcW w:w="844" w:type="dxa"/>
            <w:tcBorders>
              <w:top w:val="single" w:sz="4" w:space="0" w:color="000000"/>
              <w:bottom w:val="single" w:sz="4" w:space="0" w:color="000000"/>
            </w:tcBorders>
          </w:tcPr>
          <w:p w:rsidR="00373786" w:rsidRDefault="00373786">
            <w:pPr>
              <w:tabs>
                <w:tab w:val="left" w:pos="2002"/>
              </w:tabs>
              <w:spacing w:after="0" w:line="240" w:lineRule="auto"/>
              <w:rPr>
                <w:b/>
                <w:sz w:val="24"/>
                <w:szCs w:val="24"/>
              </w:rPr>
            </w:pPr>
          </w:p>
          <w:p w:rsidR="00373786" w:rsidRDefault="00B67A87">
            <w:pPr>
              <w:tabs>
                <w:tab w:val="left" w:pos="2002"/>
              </w:tabs>
              <w:spacing w:after="0" w:line="240" w:lineRule="auto"/>
              <w:jc w:val="center"/>
              <w:rPr>
                <w:b/>
                <w:sz w:val="24"/>
                <w:szCs w:val="24"/>
              </w:rPr>
            </w:pPr>
            <w:r>
              <w:rPr>
                <w:b/>
                <w:sz w:val="24"/>
                <w:szCs w:val="24"/>
              </w:rPr>
              <w:t>Oui</w:t>
            </w:r>
          </w:p>
        </w:tc>
      </w:tr>
      <w:tr w:rsidR="00373786">
        <w:trPr>
          <w:trHeight w:val="1040"/>
        </w:trPr>
        <w:tc>
          <w:tcPr>
            <w:tcW w:w="2118" w:type="dxa"/>
            <w:tcBorders>
              <w:bottom w:val="single" w:sz="4" w:space="0" w:color="000000"/>
            </w:tcBorders>
          </w:tcPr>
          <w:p w:rsidR="00373786" w:rsidRDefault="00B67A87">
            <w:pPr>
              <w:spacing w:after="0" w:line="240" w:lineRule="auto"/>
              <w:rPr>
                <w:b/>
                <w:sz w:val="16"/>
                <w:szCs w:val="16"/>
              </w:rPr>
            </w:pPr>
            <w:r>
              <w:rPr>
                <w:b/>
                <w:sz w:val="16"/>
                <w:szCs w:val="16"/>
              </w:rPr>
              <w:t>Résoudre  une situation-problème : (CD1)</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Situations d’apprentissage et d’évaluation</w:t>
            </w:r>
          </w:p>
          <w:p w:rsidR="00373786" w:rsidRDefault="00373786">
            <w:pPr>
              <w:spacing w:after="0" w:line="240" w:lineRule="auto"/>
              <w:rPr>
                <w:sz w:val="16"/>
                <w:szCs w:val="16"/>
              </w:rPr>
            </w:pPr>
          </w:p>
          <w:p w:rsidR="00373786" w:rsidRDefault="00373786">
            <w:pPr>
              <w:spacing w:after="0" w:line="240" w:lineRule="auto"/>
              <w:rPr>
                <w:sz w:val="16"/>
                <w:szCs w:val="16"/>
              </w:rPr>
            </w:pPr>
          </w:p>
        </w:tc>
        <w:tc>
          <w:tcPr>
            <w:tcW w:w="1243" w:type="dxa"/>
            <w:tcBorders>
              <w:bottom w:val="single" w:sz="4" w:space="0" w:color="000000"/>
            </w:tcBorders>
          </w:tcPr>
          <w:p w:rsidR="00373786" w:rsidRDefault="00B67A87">
            <w:pPr>
              <w:tabs>
                <w:tab w:val="left" w:pos="2002"/>
              </w:tabs>
              <w:spacing w:after="0" w:line="240" w:lineRule="auto"/>
              <w:jc w:val="center"/>
              <w:rPr>
                <w:b/>
                <w:sz w:val="24"/>
                <w:szCs w:val="24"/>
              </w:rPr>
            </w:pPr>
            <w:r>
              <w:rPr>
                <w:b/>
                <w:sz w:val="24"/>
                <w:szCs w:val="24"/>
              </w:rPr>
              <w:t>Non</w:t>
            </w:r>
          </w:p>
          <w:p w:rsidR="00373786" w:rsidRDefault="00B67A87">
            <w:pPr>
              <w:tabs>
                <w:tab w:val="left" w:pos="2002"/>
              </w:tabs>
              <w:spacing w:after="0" w:line="240" w:lineRule="auto"/>
              <w:jc w:val="center"/>
              <w:rPr>
                <w:b/>
                <w:sz w:val="24"/>
                <w:szCs w:val="24"/>
              </w:rPr>
            </w:pPr>
            <w:r>
              <w:rPr>
                <w:sz w:val="14"/>
                <w:szCs w:val="14"/>
              </w:rPr>
              <w:t>Fait l’objet d’apprentissage, mais aucun résultat n’est communiqué à ce bulletin.</w:t>
            </w:r>
          </w:p>
        </w:tc>
        <w:tc>
          <w:tcPr>
            <w:tcW w:w="2150" w:type="dxa"/>
          </w:tcPr>
          <w:p w:rsidR="00373786" w:rsidRDefault="00B67A87">
            <w:pPr>
              <w:spacing w:after="0" w:line="240" w:lineRule="auto"/>
              <w:rPr>
                <w:b/>
                <w:sz w:val="16"/>
                <w:szCs w:val="16"/>
              </w:rPr>
            </w:pPr>
            <w:r>
              <w:rPr>
                <w:b/>
                <w:sz w:val="16"/>
                <w:szCs w:val="16"/>
              </w:rPr>
              <w:t>Résoudre  une situation-problème :</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Situations d’apprentissage et d’évaluation</w:t>
            </w:r>
          </w:p>
          <w:p w:rsidR="00373786" w:rsidRDefault="00373786">
            <w:pPr>
              <w:spacing w:after="0" w:line="240" w:lineRule="auto"/>
              <w:rPr>
                <w:sz w:val="16"/>
                <w:szCs w:val="16"/>
              </w:rPr>
            </w:pPr>
          </w:p>
        </w:tc>
        <w:tc>
          <w:tcPr>
            <w:tcW w:w="1240" w:type="dxa"/>
            <w:tcBorders>
              <w:bottom w:val="single" w:sz="4" w:space="0" w:color="000000"/>
            </w:tcBorders>
          </w:tcPr>
          <w:p w:rsidR="00373786" w:rsidRDefault="00B67A87">
            <w:pPr>
              <w:tabs>
                <w:tab w:val="left" w:pos="2002"/>
              </w:tabs>
              <w:spacing w:after="0" w:line="240" w:lineRule="auto"/>
              <w:jc w:val="center"/>
              <w:rPr>
                <w:b/>
                <w:sz w:val="24"/>
                <w:szCs w:val="24"/>
              </w:rPr>
            </w:pPr>
            <w:r>
              <w:rPr>
                <w:b/>
                <w:sz w:val="24"/>
                <w:szCs w:val="24"/>
              </w:rPr>
              <w:t>Oui</w:t>
            </w:r>
          </w:p>
        </w:tc>
        <w:tc>
          <w:tcPr>
            <w:tcW w:w="2432" w:type="dxa"/>
            <w:tcBorders>
              <w:bottom w:val="single" w:sz="4" w:space="0" w:color="000000"/>
              <w:right w:val="single" w:sz="4" w:space="0" w:color="000000"/>
            </w:tcBorders>
          </w:tcPr>
          <w:p w:rsidR="00373786" w:rsidRDefault="00B67A87">
            <w:pPr>
              <w:spacing w:after="0" w:line="240" w:lineRule="auto"/>
              <w:rPr>
                <w:b/>
                <w:sz w:val="16"/>
                <w:szCs w:val="16"/>
              </w:rPr>
            </w:pPr>
            <w:r>
              <w:rPr>
                <w:b/>
                <w:sz w:val="16"/>
                <w:szCs w:val="16"/>
              </w:rPr>
              <w:t>Résoudre  une situation-problème :</w:t>
            </w:r>
          </w:p>
          <w:p w:rsidR="00373786" w:rsidRDefault="00373786">
            <w:pPr>
              <w:spacing w:after="0" w:line="240" w:lineRule="auto"/>
              <w:rPr>
                <w:sz w:val="16"/>
                <w:szCs w:val="16"/>
              </w:rPr>
            </w:pPr>
          </w:p>
          <w:p w:rsidR="00373786" w:rsidRDefault="00B67A87">
            <w:pPr>
              <w:spacing w:after="0" w:line="240" w:lineRule="auto"/>
              <w:rPr>
                <w:sz w:val="16"/>
                <w:szCs w:val="16"/>
              </w:rPr>
            </w:pPr>
            <w:r>
              <w:rPr>
                <w:sz w:val="16"/>
                <w:szCs w:val="16"/>
              </w:rPr>
              <w:t>Situations d’apprentissage et d’évaluation</w:t>
            </w:r>
          </w:p>
        </w:tc>
        <w:tc>
          <w:tcPr>
            <w:tcW w:w="989" w:type="dxa"/>
            <w:tcBorders>
              <w:top w:val="single" w:sz="4" w:space="0" w:color="000000"/>
              <w:left w:val="single" w:sz="4" w:space="0" w:color="000000"/>
              <w:bottom w:val="single" w:sz="4" w:space="0" w:color="000000"/>
            </w:tcBorders>
          </w:tcPr>
          <w:p w:rsidR="00373786" w:rsidRDefault="00B67A87">
            <w:pPr>
              <w:spacing w:after="0" w:line="240" w:lineRule="auto"/>
              <w:jc w:val="center"/>
              <w:rPr>
                <w:b/>
                <w:sz w:val="24"/>
                <w:szCs w:val="24"/>
              </w:rPr>
            </w:pPr>
            <w:r>
              <w:rPr>
                <w:b/>
                <w:sz w:val="24"/>
                <w:szCs w:val="24"/>
              </w:rPr>
              <w:t>Oui</w:t>
            </w:r>
          </w:p>
        </w:tc>
        <w:tc>
          <w:tcPr>
            <w:tcW w:w="844" w:type="dxa"/>
            <w:tcBorders>
              <w:bottom w:val="single" w:sz="4" w:space="0" w:color="000000"/>
            </w:tcBorders>
          </w:tcPr>
          <w:p w:rsidR="00373786" w:rsidRDefault="00B67A87">
            <w:pPr>
              <w:tabs>
                <w:tab w:val="left" w:pos="2002"/>
              </w:tabs>
              <w:spacing w:after="0" w:line="240" w:lineRule="auto"/>
              <w:jc w:val="center"/>
              <w:rPr>
                <w:b/>
                <w:sz w:val="24"/>
                <w:szCs w:val="24"/>
              </w:rPr>
            </w:pPr>
            <w:r>
              <w:rPr>
                <w:b/>
                <w:sz w:val="24"/>
                <w:szCs w:val="24"/>
              </w:rPr>
              <w:t>Oui</w:t>
            </w:r>
          </w:p>
        </w:tc>
      </w:tr>
    </w:tbl>
    <w:p w:rsidR="00373786" w:rsidRDefault="00373786">
      <w:pPr>
        <w:rPr>
          <w:sz w:val="18"/>
          <w:szCs w:val="18"/>
        </w:rPr>
      </w:pPr>
    </w:p>
    <w:sectPr w:rsidR="00373786">
      <w:footerReference w:type="default" r:id="rId8"/>
      <w:footerReference w:type="first" r:id="rId9"/>
      <w:pgSz w:w="12240" w:h="15840"/>
      <w:pgMar w:top="539" w:right="720" w:bottom="539" w:left="720"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D4" w:rsidRDefault="00B67A87">
      <w:pPr>
        <w:spacing w:after="0" w:line="240" w:lineRule="auto"/>
      </w:pPr>
      <w:r>
        <w:separator/>
      </w:r>
    </w:p>
  </w:endnote>
  <w:endnote w:type="continuationSeparator" w:id="0">
    <w:p w:rsidR="008371D4" w:rsidRDefault="00B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86" w:rsidRDefault="00B67A87">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A5D93">
      <w:rPr>
        <w:noProof/>
        <w:color w:val="000000"/>
      </w:rPr>
      <w:t>2</w:t>
    </w:r>
    <w:r>
      <w:rPr>
        <w:color w:val="000000"/>
      </w:rPr>
      <w:fldChar w:fldCharType="end"/>
    </w:r>
  </w:p>
  <w:p w:rsidR="00373786" w:rsidRDefault="00373786">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86" w:rsidRDefault="00B67A87">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2018-04-23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D4" w:rsidRDefault="00B67A87">
      <w:pPr>
        <w:spacing w:after="0" w:line="240" w:lineRule="auto"/>
      </w:pPr>
      <w:r>
        <w:separator/>
      </w:r>
    </w:p>
  </w:footnote>
  <w:footnote w:type="continuationSeparator" w:id="0">
    <w:p w:rsidR="008371D4" w:rsidRDefault="00B67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01A"/>
    <w:multiLevelType w:val="multilevel"/>
    <w:tmpl w:val="DAEC2DF2"/>
    <w:lvl w:ilvl="0">
      <w:start w:val="1"/>
      <w:numFmt w:val="bullet"/>
      <w:lvlText w:val="-"/>
      <w:lvlJc w:val="left"/>
      <w:pPr>
        <w:ind w:left="720" w:hanging="360"/>
      </w:pPr>
      <w:rPr>
        <w:rFonts w:ascii="Calibri" w:eastAsia="Calibri" w:hAnsi="Calibri" w:cs="Calibri"/>
      </w:rPr>
    </w:lvl>
    <w:lvl w:ilvl="1">
      <w:start w:val="70"/>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C65867"/>
    <w:multiLevelType w:val="multilevel"/>
    <w:tmpl w:val="5ACA8968"/>
    <w:lvl w:ilvl="0">
      <w:start w:val="1"/>
      <w:numFmt w:val="bullet"/>
      <w:lvlText w:val="-"/>
      <w:lvlJc w:val="left"/>
      <w:pPr>
        <w:ind w:left="720" w:hanging="360"/>
      </w:pPr>
      <w:rPr>
        <w:rFonts w:ascii="Calibri" w:eastAsia="Calibri" w:hAnsi="Calibri" w:cs="Calibri"/>
      </w:rPr>
    </w:lvl>
    <w:lvl w:ilvl="1">
      <w:start w:val="70"/>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C866A7"/>
    <w:multiLevelType w:val="multilevel"/>
    <w:tmpl w:val="C8CCD522"/>
    <w:lvl w:ilvl="0">
      <w:start w:val="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3786"/>
    <w:rsid w:val="0018444A"/>
    <w:rsid w:val="001865DA"/>
    <w:rsid w:val="001A5D93"/>
    <w:rsid w:val="00282188"/>
    <w:rsid w:val="00373786"/>
    <w:rsid w:val="003B4EA5"/>
    <w:rsid w:val="004F58C2"/>
    <w:rsid w:val="005E463D"/>
    <w:rsid w:val="0069557D"/>
    <w:rsid w:val="007D51E7"/>
    <w:rsid w:val="008371D4"/>
    <w:rsid w:val="00870639"/>
    <w:rsid w:val="00A61A8B"/>
    <w:rsid w:val="00B67A87"/>
    <w:rsid w:val="00BF276C"/>
    <w:rsid w:val="00C50557"/>
    <w:rsid w:val="00E162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Paragraphedeliste">
    <w:name w:val="List Paragraph"/>
    <w:basedOn w:val="Normal"/>
    <w:uiPriority w:val="34"/>
    <w:qFormat/>
    <w:rsid w:val="00184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Paragraphedeliste">
    <w:name w:val="List Paragraph"/>
    <w:basedOn w:val="Normal"/>
    <w:uiPriority w:val="34"/>
    <w:qFormat/>
    <w:rsid w:val="0018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NAWAF KABBARA</dc:creator>
  <cp:lastModifiedBy>Mohamed Habel</cp:lastModifiedBy>
  <cp:revision>5</cp:revision>
  <dcterms:created xsi:type="dcterms:W3CDTF">2020-01-29T16:56:00Z</dcterms:created>
  <dcterms:modified xsi:type="dcterms:W3CDTF">2020-09-22T00:15:00Z</dcterms:modified>
</cp:coreProperties>
</file>